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before="0"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6" name=""/>
                <a:graphic>
                  <a:graphicData uri="http://schemas.microsoft.com/office/word/2010/wordprocessingShape">
                    <wps:wsp>
                      <wps:cNvSpPr/>
                      <wps:cNvPr id="2" name="Shape 2"/>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pPr>
      <w:r w:rsidDel="00000000" w:rsidR="00000000" w:rsidRPr="00000000">
        <w:rPr/>
        <w:drawing>
          <wp:inline distB="0" distT="0" distL="0" distR="0">
            <wp:extent cx="6645910" cy="828675"/>
            <wp:effectExtent b="0" l="0" r="0" t="0"/>
            <wp:docPr descr="Logo, company name&#10;&#10;Description automatically generated" id="7" name="image1.png"/>
            <a:graphic>
              <a:graphicData uri="http://schemas.openxmlformats.org/drawingml/2006/picture">
                <pic:pic>
                  <pic:nvPicPr>
                    <pic:cNvPr descr="Logo, company name&#10;&#10;Description automatically generated" id="0" name="image1.png"/>
                    <pic:cNvPicPr preferRelativeResize="0"/>
                  </pic:nvPicPr>
                  <pic:blipFill>
                    <a:blip r:embed="rId8"/>
                    <a:srcRect b="39613" l="0" r="0" t="38220"/>
                    <a:stretch>
                      <a:fillRect/>
                    </a:stretch>
                  </pic:blipFill>
                  <pic:spPr>
                    <a:xfrm>
                      <a:off x="0" y="0"/>
                      <a:ext cx="6645910" cy="8286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60" w:before="400" w:lineRule="auto"/>
        <w:rPr>
          <w:rFonts w:ascii="Abadi MT Pro" w:cs="Abadi MT Pro" w:eastAsia="Abadi MT Pro" w:hAnsi="Abadi MT Pro"/>
          <w:color w:val="002387"/>
          <w:sz w:val="40"/>
          <w:szCs w:val="40"/>
        </w:rPr>
      </w:pPr>
      <w:r w:rsidDel="00000000" w:rsidR="00000000" w:rsidRPr="00000000">
        <w:rPr>
          <w:rFonts w:ascii="Abadi MT Pro" w:cs="Abadi MT Pro" w:eastAsia="Abadi MT Pro" w:hAnsi="Abadi MT Pro"/>
          <w:color w:val="002387"/>
          <w:sz w:val="40"/>
          <w:szCs w:val="40"/>
          <w:rtl w:val="0"/>
        </w:rPr>
        <w:t xml:space="preserve">Steering Group meeting</w:t>
      </w:r>
    </w:p>
    <w:p w:rsidR="00000000" w:rsidDel="00000000" w:rsidP="00000000" w:rsidRDefault="00000000" w:rsidRPr="00000000" w14:paraId="00000007">
      <w:pPr>
        <w:rPr/>
      </w:pPr>
      <w:r w:rsidDel="00000000" w:rsidR="00000000" w:rsidRPr="00000000">
        <w:rPr>
          <w:rtl w:val="0"/>
        </w:rPr>
      </w:r>
    </w:p>
    <w:tbl>
      <w:tblPr>
        <w:tblStyle w:val="Table1"/>
        <w:tblW w:w="9915.0" w:type="dxa"/>
        <w:jc w:val="left"/>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A0"/>
      </w:tblPr>
      <w:tblGrid>
        <w:gridCol w:w="1410"/>
        <w:gridCol w:w="8505"/>
        <w:tblGridChange w:id="0">
          <w:tblGrid>
            <w:gridCol w:w="1410"/>
            <w:gridCol w:w="8505"/>
          </w:tblGrid>
        </w:tblGridChange>
      </w:tblGrid>
      <w:tr>
        <w:trPr>
          <w:cantSplit w:val="0"/>
          <w:tblHeader w:val="0"/>
        </w:trPr>
        <w:tc>
          <w:tcPr/>
          <w:p w:rsidR="00000000" w:rsidDel="00000000" w:rsidP="00000000" w:rsidRDefault="00000000" w:rsidRPr="00000000" w14:paraId="00000008">
            <w:pPr>
              <w:rPr>
                <w:sz w:val="20"/>
                <w:szCs w:val="20"/>
              </w:rPr>
            </w:pPr>
            <w:r w:rsidDel="00000000" w:rsidR="00000000" w:rsidRPr="00000000">
              <w:rPr>
                <w:sz w:val="20"/>
                <w:szCs w:val="20"/>
                <w:rtl w:val="0"/>
              </w:rPr>
              <w:t xml:space="preserve">When</w:t>
            </w:r>
          </w:p>
        </w:tc>
        <w:tc>
          <w:tcPr/>
          <w:p w:rsidR="00000000" w:rsidDel="00000000" w:rsidP="00000000" w:rsidRDefault="00000000" w:rsidRPr="00000000" w14:paraId="00000009">
            <w:pPr>
              <w:rPr>
                <w:sz w:val="20"/>
                <w:szCs w:val="20"/>
              </w:rPr>
            </w:pPr>
            <w:r w:rsidDel="00000000" w:rsidR="00000000" w:rsidRPr="00000000">
              <w:rPr>
                <w:sz w:val="20"/>
                <w:szCs w:val="20"/>
                <w:rtl w:val="0"/>
              </w:rPr>
              <w:t xml:space="preserve">Thursday 4 April 2024, 0930-1200</w:t>
            </w:r>
          </w:p>
        </w:tc>
      </w:tr>
      <w:tr>
        <w:trPr>
          <w:cantSplit w:val="0"/>
          <w:tblHeader w:val="0"/>
        </w:trPr>
        <w:tc>
          <w:tcPr>
            <w:vAlign w:val="center"/>
          </w:tcPr>
          <w:p w:rsidR="00000000" w:rsidDel="00000000" w:rsidP="00000000" w:rsidRDefault="00000000" w:rsidRPr="00000000" w14:paraId="0000000A">
            <w:pPr>
              <w:rPr>
                <w:sz w:val="20"/>
                <w:szCs w:val="20"/>
              </w:rPr>
            </w:pPr>
            <w:r w:rsidDel="00000000" w:rsidR="00000000" w:rsidRPr="00000000">
              <w:rPr>
                <w:sz w:val="20"/>
                <w:szCs w:val="20"/>
                <w:rtl w:val="0"/>
              </w:rPr>
              <w:t xml:space="preserve">Where</w:t>
            </w:r>
          </w:p>
        </w:tc>
        <w:tc>
          <w:tcPr>
            <w:vAlign w:val="center"/>
          </w:tcPr>
          <w:p w:rsidR="00000000" w:rsidDel="00000000" w:rsidP="00000000" w:rsidRDefault="00000000" w:rsidRPr="00000000" w14:paraId="0000000B">
            <w:pPr>
              <w:rPr>
                <w:sz w:val="20"/>
                <w:szCs w:val="20"/>
              </w:rPr>
            </w:pPr>
            <w:r w:rsidDel="00000000" w:rsidR="00000000" w:rsidRPr="00000000">
              <w:rPr>
                <w:sz w:val="20"/>
                <w:szCs w:val="20"/>
                <w:rtl w:val="0"/>
              </w:rPr>
              <w:t xml:space="preserve">Virtual</w:t>
            </w:r>
          </w:p>
        </w:tc>
      </w:tr>
      <w:tr>
        <w:trPr>
          <w:cantSplit w:val="0"/>
          <w:tblHeader w:val="0"/>
        </w:trPr>
        <w:tc>
          <w:tcPr>
            <w:vAlign w:val="center"/>
          </w:tcPr>
          <w:p w:rsidR="00000000" w:rsidDel="00000000" w:rsidP="00000000" w:rsidRDefault="00000000" w:rsidRPr="00000000" w14:paraId="0000000C">
            <w:pPr>
              <w:rPr>
                <w:sz w:val="20"/>
                <w:szCs w:val="20"/>
              </w:rPr>
            </w:pPr>
            <w:r w:rsidDel="00000000" w:rsidR="00000000" w:rsidRPr="00000000">
              <w:rPr>
                <w:sz w:val="20"/>
                <w:szCs w:val="20"/>
                <w:rtl w:val="0"/>
              </w:rPr>
              <w:t xml:space="preserve">Who</w:t>
            </w:r>
          </w:p>
        </w:tc>
        <w:tc>
          <w:tcPr>
            <w:vAlign w:val="center"/>
          </w:tcPr>
          <w:p w:rsidR="00000000" w:rsidDel="00000000" w:rsidP="00000000" w:rsidRDefault="00000000" w:rsidRPr="00000000" w14:paraId="0000000D">
            <w:pPr>
              <w:rPr>
                <w:sz w:val="20"/>
                <w:szCs w:val="20"/>
              </w:rPr>
            </w:pPr>
            <w:r w:rsidDel="00000000" w:rsidR="00000000" w:rsidRPr="00000000">
              <w:rPr>
                <w:sz w:val="20"/>
                <w:szCs w:val="20"/>
                <w:rtl w:val="0"/>
              </w:rPr>
              <w:t xml:space="preserve">Steve Batstone, Shay Brazier, John Campbell, Ryan Kuggeleijn, Matt Smith, Evie Trolove, Fiona Wiseman</w:t>
            </w:r>
          </w:p>
          <w:p w:rsidR="00000000" w:rsidDel="00000000" w:rsidP="00000000" w:rsidRDefault="00000000" w:rsidRPr="00000000" w14:paraId="0000000E">
            <w:pPr>
              <w:rPr>
                <w:sz w:val="20"/>
                <w:szCs w:val="20"/>
              </w:rPr>
            </w:pPr>
            <w:r w:rsidDel="00000000" w:rsidR="00000000" w:rsidRPr="00000000">
              <w:rPr>
                <w:sz w:val="20"/>
                <w:szCs w:val="20"/>
                <w:rtl w:val="0"/>
              </w:rPr>
              <w:t xml:space="preserve">Secretariat: Craig Evans</w:t>
            </w:r>
          </w:p>
          <w:p w:rsidR="00000000" w:rsidDel="00000000" w:rsidP="00000000" w:rsidRDefault="00000000" w:rsidRPr="00000000" w14:paraId="0000000F">
            <w:pPr>
              <w:rPr>
                <w:sz w:val="20"/>
                <w:szCs w:val="20"/>
              </w:rPr>
            </w:pPr>
            <w:r w:rsidDel="00000000" w:rsidR="00000000" w:rsidRPr="00000000">
              <w:rPr>
                <w:sz w:val="20"/>
                <w:szCs w:val="20"/>
                <w:rtl w:val="0"/>
              </w:rPr>
              <w:t xml:space="preserve">Observers: Briony Bennett (Ara Ake), Sean McCready (CC)</w:t>
            </w:r>
          </w:p>
        </w:tc>
      </w:tr>
      <w:tr>
        <w:trPr>
          <w:cantSplit w:val="0"/>
          <w:tblHeader w:val="0"/>
        </w:trPr>
        <w:tc>
          <w:tcPr>
            <w:vAlign w:val="center"/>
          </w:tcPr>
          <w:p w:rsidR="00000000" w:rsidDel="00000000" w:rsidP="00000000" w:rsidRDefault="00000000" w:rsidRPr="00000000" w14:paraId="00000010">
            <w:pPr>
              <w:rPr>
                <w:sz w:val="20"/>
                <w:szCs w:val="20"/>
              </w:rPr>
            </w:pPr>
            <w:r w:rsidDel="00000000" w:rsidR="00000000" w:rsidRPr="00000000">
              <w:rPr>
                <w:sz w:val="20"/>
                <w:szCs w:val="20"/>
                <w:rtl w:val="0"/>
              </w:rPr>
              <w:t xml:space="preserve">Apologies</w:t>
            </w:r>
          </w:p>
        </w:tc>
        <w:tc>
          <w:tcPr>
            <w:vAlign w:val="center"/>
          </w:tcPr>
          <w:p w:rsidR="00000000" w:rsidDel="00000000" w:rsidP="00000000" w:rsidRDefault="00000000" w:rsidRPr="00000000" w14:paraId="00000011">
            <w:pPr>
              <w:rPr>
                <w:sz w:val="20"/>
                <w:szCs w:val="20"/>
              </w:rPr>
            </w:pPr>
            <w:r w:rsidDel="00000000" w:rsidR="00000000" w:rsidRPr="00000000">
              <w:rPr>
                <w:sz w:val="20"/>
                <w:szCs w:val="20"/>
                <w:rtl w:val="0"/>
              </w:rPr>
              <w:t xml:space="preserve">Terry Paddy, Mark Herring (EA), Peter Bartlett (MBIE), Brian FitzGerald (EECA)</w:t>
            </w:r>
          </w:p>
        </w:tc>
      </w:tr>
    </w:tbl>
    <w:p w:rsidR="00000000" w:rsidDel="00000000" w:rsidP="00000000" w:rsidRDefault="00000000" w:rsidRPr="00000000" w14:paraId="00000012">
      <w:pPr>
        <w:rPr>
          <w:rFonts w:ascii="Arial" w:cs="Arial" w:eastAsia="Arial" w:hAnsi="Arial"/>
          <w:color w:val="262626"/>
          <w:sz w:val="32"/>
          <w:szCs w:val="32"/>
        </w:rPr>
      </w:pPr>
      <w:r w:rsidDel="00000000" w:rsidR="00000000" w:rsidRPr="00000000">
        <w:rPr>
          <w:rFonts w:ascii="Arial" w:cs="Arial" w:eastAsia="Arial" w:hAnsi="Arial"/>
          <w:color w:val="262626"/>
          <w:sz w:val="32"/>
          <w:szCs w:val="32"/>
          <w:rtl w:val="0"/>
        </w:rPr>
        <w:tab/>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60" w:before="400" w:lineRule="auto"/>
        <w:rPr>
          <w:rFonts w:ascii="Abadi MT Pro" w:cs="Abadi MT Pro" w:eastAsia="Abadi MT Pro" w:hAnsi="Abadi MT Pro"/>
          <w:color w:val="002387"/>
          <w:sz w:val="40"/>
          <w:szCs w:val="40"/>
        </w:rPr>
      </w:pPr>
      <w:r w:rsidDel="00000000" w:rsidR="00000000" w:rsidRPr="00000000">
        <w:rPr>
          <w:rFonts w:ascii="Abadi MT Pro" w:cs="Abadi MT Pro" w:eastAsia="Abadi MT Pro" w:hAnsi="Abadi MT Pro"/>
          <w:color w:val="002387"/>
          <w:sz w:val="40"/>
          <w:szCs w:val="40"/>
          <w:rtl w:val="0"/>
        </w:rPr>
        <w:t xml:space="preserve">Session notes</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Rule="auto"/>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1: Welcome</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rPr/>
      </w:pPr>
      <w:r w:rsidDel="00000000" w:rsidR="00000000" w:rsidRPr="00000000">
        <w:rPr>
          <w:rtl w:val="0"/>
        </w:rPr>
        <w:t xml:space="preserve">The Chair welcomed everyone to the session. </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rPr/>
      </w:pPr>
      <w:r w:rsidDel="00000000" w:rsidR="00000000" w:rsidRPr="00000000">
        <w:rPr>
          <w:rtl w:val="0"/>
        </w:rPr>
        <w:t xml:space="preserve">The SG:</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ind w:left="360" w:hanging="360"/>
        <w:rPr>
          <w:sz w:val="22"/>
          <w:szCs w:val="22"/>
        </w:rPr>
      </w:pPr>
      <w:r w:rsidDel="00000000" w:rsidR="00000000" w:rsidRPr="00000000">
        <w:rPr>
          <w:rtl w:val="0"/>
        </w:rPr>
        <w:t xml:space="preserve">confirmed there was a quorum </w:t>
      </w: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ind w:left="360" w:hanging="360"/>
        <w:rPr>
          <w:sz w:val="22"/>
          <w:szCs w:val="22"/>
        </w:rPr>
      </w:pPr>
      <w:r w:rsidDel="00000000" w:rsidR="00000000" w:rsidRPr="00000000">
        <w:rPr>
          <w:rtl w:val="0"/>
        </w:rPr>
        <w:t xml:space="preserve">noted their individual obligations relating to the Commerce Act 1986 prohibiting anti-competitive conduct</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ind w:left="360" w:hanging="360"/>
        <w:rPr>
          <w:sz w:val="22"/>
          <w:szCs w:val="22"/>
        </w:rPr>
      </w:pPr>
      <w:r w:rsidDel="00000000" w:rsidR="00000000" w:rsidRPr="00000000">
        <w:rPr>
          <w:rtl w:val="0"/>
        </w:rPr>
        <w:t xml:space="preserve">noted the reminder to review and update interests</w:t>
      </w: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ind w:left="360" w:hanging="360"/>
        <w:rPr>
          <w:sz w:val="22"/>
          <w:szCs w:val="22"/>
        </w:rPr>
      </w:pPr>
      <w:r w:rsidDel="00000000" w:rsidR="00000000" w:rsidRPr="00000000">
        <w:rPr>
          <w:rtl w:val="0"/>
        </w:rPr>
        <w:t xml:space="preserve">noted apologies</w:t>
      </w: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ind w:left="360" w:hanging="360"/>
        <w:rPr>
          <w:sz w:val="22"/>
          <w:szCs w:val="22"/>
        </w:rPr>
      </w:pPr>
      <w:r w:rsidDel="00000000" w:rsidR="00000000" w:rsidRPr="00000000">
        <w:rPr>
          <w:rtl w:val="0"/>
        </w:rPr>
        <w:t xml:space="preserve">confirmed the agenda, including discussion of 2 items of other business</w:t>
      </w:r>
      <w:r w:rsidDel="00000000" w:rsidR="00000000" w:rsidRPr="00000000">
        <w:rPr>
          <w:rtl w:val="0"/>
        </w:rPr>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spacing w:after="0" w:lineRule="auto"/>
        <w:ind w:left="567" w:hanging="283"/>
        <w:rPr/>
      </w:pPr>
      <w:r w:rsidDel="00000000" w:rsidR="00000000" w:rsidRPr="00000000">
        <w:rPr>
          <w:rtl w:val="0"/>
        </w:rPr>
        <w:t xml:space="preserve">process for FF to decide whether to respond to a regulatory consultation or otherwise decides to provide a FF perspective on an issue</w:t>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spacing w:before="0" w:lineRule="auto"/>
        <w:ind w:left="567" w:hanging="283"/>
        <w:rPr/>
      </w:pPr>
      <w:r w:rsidDel="00000000" w:rsidR="00000000" w:rsidRPr="00000000">
        <w:rPr>
          <w:rtl w:val="0"/>
        </w:rPr>
        <w:t xml:space="preserve">timing of the AGM.</w:t>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60" w:before="400" w:lineRule="auto"/>
        <w:rPr>
          <w:rFonts w:ascii="Abadi MT Pro" w:cs="Abadi MT Pro" w:eastAsia="Abadi MT Pro" w:hAnsi="Abadi MT Pro"/>
          <w:color w:val="002387"/>
          <w:sz w:val="40"/>
          <w:szCs w:val="40"/>
        </w:rPr>
      </w:pPr>
      <w:r w:rsidDel="00000000" w:rsidR="00000000" w:rsidRPr="00000000">
        <w:rPr>
          <w:rFonts w:ascii="Abadi MT Pro" w:cs="Abadi MT Pro" w:eastAsia="Abadi MT Pro" w:hAnsi="Abadi MT Pro"/>
          <w:color w:val="002387"/>
          <w:sz w:val="40"/>
          <w:szCs w:val="40"/>
          <w:rtl w:val="0"/>
        </w:rPr>
        <w:t xml:space="preserve">Strategic items </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Rule="auto"/>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2: Objectives and key results</w:t>
      </w:r>
    </w:p>
    <w:p w:rsidR="00000000" w:rsidDel="00000000" w:rsidP="00000000" w:rsidRDefault="00000000" w:rsidRPr="00000000" w14:paraId="00000020">
      <w:pPr>
        <w:rPr/>
      </w:pPr>
      <w:r w:rsidDel="00000000" w:rsidR="00000000" w:rsidRPr="00000000">
        <w:rPr>
          <w:rtl w:val="0"/>
        </w:rPr>
        <w:t xml:space="preserve">The SG discussed setting objectives and key results to focus efforts and keep them aligned with the FlexForum objective and purpose.</w:t>
      </w:r>
    </w:p>
    <w:p w:rsidR="00000000" w:rsidDel="00000000" w:rsidP="00000000" w:rsidRDefault="00000000" w:rsidRPr="00000000" w14:paraId="00000021">
      <w:pPr>
        <w:rPr/>
      </w:pPr>
      <w:r w:rsidDel="00000000" w:rsidR="00000000" w:rsidRPr="00000000">
        <w:rPr>
          <w:rtl w:val="0"/>
        </w:rPr>
        <w:t xml:space="preserve">The SG agreed to refine the draft objectives and key results to reflect what matters, to be controllable (by FlexForum and the Steering Group) and to align with the constitution where relevant (eg, approval thresholds).</w:t>
      </w:r>
    </w:p>
    <w:p w:rsidR="00000000" w:rsidDel="00000000" w:rsidP="00000000" w:rsidRDefault="00000000" w:rsidRPr="00000000" w14:paraId="00000022">
      <w:pPr>
        <w:rPr/>
      </w:pPr>
      <w:r w:rsidDel="00000000" w:rsidR="00000000" w:rsidRPr="00000000">
        <w:rPr>
          <w:rtl w:val="0"/>
        </w:rPr>
        <w:t xml:space="preserve">The discussion covered</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Context and background. The draft objectives emerged from the November 2023 discussion about things the SG specifically could do to achieve the principles expressed in the Flexibility Plan (accountability etc) and to align with the constitution. There are two types of objectives: </w:t>
      </w:r>
    </w:p>
    <w:p w:rsidR="00000000" w:rsidDel="00000000" w:rsidP="00000000" w:rsidRDefault="00000000" w:rsidRPr="00000000" w14:paraId="00000024">
      <w:pPr>
        <w:numPr>
          <w:ilvl w:val="1"/>
          <w:numId w:val="2"/>
        </w:numPr>
        <w:pBdr>
          <w:top w:space="0" w:sz="0" w:val="nil"/>
          <w:left w:space="0" w:sz="0" w:val="nil"/>
          <w:bottom w:space="0" w:sz="0" w:val="nil"/>
          <w:right w:space="0" w:sz="0" w:val="nil"/>
          <w:between w:space="0" w:sz="0" w:val="nil"/>
        </w:pBdr>
        <w:spacing w:after="0" w:lineRule="auto"/>
        <w:ind w:left="567" w:hanging="283"/>
        <w:rPr/>
      </w:pPr>
      <w:r w:rsidDel="00000000" w:rsidR="00000000" w:rsidRPr="00000000">
        <w:rPr>
          <w:rtl w:val="0"/>
        </w:rPr>
        <w:t xml:space="preserve">engagement and communications </w:t>
      </w:r>
    </w:p>
    <w:p w:rsidR="00000000" w:rsidDel="00000000" w:rsidP="00000000" w:rsidRDefault="00000000" w:rsidRPr="00000000" w14:paraId="00000025">
      <w:pPr>
        <w:numPr>
          <w:ilvl w:val="1"/>
          <w:numId w:val="2"/>
        </w:numPr>
        <w:pBdr>
          <w:top w:space="0" w:sz="0" w:val="nil"/>
          <w:left w:space="0" w:sz="0" w:val="nil"/>
          <w:bottom w:space="0" w:sz="0" w:val="nil"/>
          <w:right w:space="0" w:sz="0" w:val="nil"/>
          <w:between w:space="0" w:sz="0" w:val="nil"/>
        </w:pBdr>
        <w:spacing w:after="0" w:before="0" w:lineRule="auto"/>
        <w:ind w:left="567" w:hanging="283"/>
        <w:rPr/>
      </w:pPr>
      <w:r w:rsidDel="00000000" w:rsidR="00000000" w:rsidRPr="00000000">
        <w:rPr>
          <w:rtl w:val="0"/>
        </w:rPr>
        <w:t xml:space="preserve">assurance about the type and quality of activities, and always keeping these focused on practical outcomes and direct impact on humans</w:t>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before="0" w:lineRule="auto"/>
        <w:ind w:left="284" w:hanging="284"/>
        <w:rPr/>
      </w:pPr>
      <w:r w:rsidDel="00000000" w:rsidR="00000000" w:rsidRPr="00000000">
        <w:rPr>
          <w:rtl w:val="0"/>
        </w:rPr>
        <w:t xml:space="preserve">The objectives were generally supported. Comments included:</w:t>
      </w:r>
    </w:p>
    <w:p w:rsidR="00000000" w:rsidDel="00000000" w:rsidP="00000000" w:rsidRDefault="00000000" w:rsidRPr="00000000" w14:paraId="00000027">
      <w:pPr>
        <w:numPr>
          <w:ilvl w:val="1"/>
          <w:numId w:val="2"/>
        </w:numPr>
        <w:pBdr>
          <w:top w:space="0" w:sz="0" w:val="nil"/>
          <w:left w:space="0" w:sz="0" w:val="nil"/>
          <w:bottom w:space="0" w:sz="0" w:val="nil"/>
          <w:right w:space="0" w:sz="0" w:val="nil"/>
          <w:between w:space="0" w:sz="0" w:val="nil"/>
        </w:pBdr>
        <w:spacing w:after="0" w:lineRule="auto"/>
        <w:ind w:left="567" w:hanging="283"/>
        <w:rPr/>
      </w:pPr>
      <w:r w:rsidDel="00000000" w:rsidR="00000000" w:rsidRPr="00000000">
        <w:rPr>
          <w:rtl w:val="0"/>
        </w:rPr>
        <w:t xml:space="preserve">leadership. There are lots of conversations occurring, but a FF point of difference is it is actively trying to lead and guide conversation and contribute to regulatory conversations, particularly providing technical expertise which regulators do not have. Proactive engagement with regulators before consultation papers is written is valuable – responding to papers is often too late. But FF needs to be doing certain things to earn and maintain the credibility to be seen as a leader</w:t>
      </w:r>
    </w:p>
    <w:p w:rsidR="00000000" w:rsidDel="00000000" w:rsidP="00000000" w:rsidRDefault="00000000" w:rsidRPr="00000000" w14:paraId="00000028">
      <w:pPr>
        <w:numPr>
          <w:ilvl w:val="1"/>
          <w:numId w:val="2"/>
        </w:numPr>
        <w:pBdr>
          <w:top w:space="0" w:sz="0" w:val="nil"/>
          <w:left w:space="0" w:sz="0" w:val="nil"/>
          <w:bottom w:space="0" w:sz="0" w:val="nil"/>
          <w:right w:space="0" w:sz="0" w:val="nil"/>
          <w:between w:space="0" w:sz="0" w:val="nil"/>
        </w:pBdr>
        <w:spacing w:after="0" w:before="0" w:lineRule="auto"/>
        <w:ind w:left="567" w:hanging="283"/>
        <w:rPr/>
      </w:pPr>
      <w:r w:rsidDel="00000000" w:rsidR="00000000" w:rsidRPr="00000000">
        <w:rPr>
          <w:rtl w:val="0"/>
        </w:rPr>
        <w:t xml:space="preserve">measuring results will be difficult for some things, eg, making it easier for humans, because how do we know things are easier. But still needs to be done. </w:t>
      </w:r>
    </w:p>
    <w:p w:rsidR="00000000" w:rsidDel="00000000" w:rsidP="00000000" w:rsidRDefault="00000000" w:rsidRPr="00000000" w14:paraId="00000029">
      <w:pPr>
        <w:numPr>
          <w:ilvl w:val="1"/>
          <w:numId w:val="2"/>
        </w:numPr>
        <w:pBdr>
          <w:top w:space="0" w:sz="0" w:val="nil"/>
          <w:left w:space="0" w:sz="0" w:val="nil"/>
          <w:bottom w:space="0" w:sz="0" w:val="nil"/>
          <w:right w:space="0" w:sz="0" w:val="nil"/>
          <w:between w:space="0" w:sz="0" w:val="nil"/>
        </w:pBdr>
        <w:spacing w:after="0" w:before="0" w:lineRule="auto"/>
        <w:ind w:left="567" w:hanging="283"/>
        <w:rPr/>
      </w:pPr>
      <w:r w:rsidDel="00000000" w:rsidR="00000000" w:rsidRPr="00000000">
        <w:rPr>
          <w:rtl w:val="0"/>
        </w:rPr>
        <w:t xml:space="preserve">Measure a small number of meaningful things using a ‘do what’ and ‘for who’ approach</w:t>
      </w:r>
    </w:p>
    <w:p w:rsidR="00000000" w:rsidDel="00000000" w:rsidP="00000000" w:rsidRDefault="00000000" w:rsidRPr="00000000" w14:paraId="0000002A">
      <w:pPr>
        <w:numPr>
          <w:ilvl w:val="1"/>
          <w:numId w:val="2"/>
        </w:numPr>
        <w:pBdr>
          <w:top w:space="0" w:sz="0" w:val="nil"/>
          <w:left w:space="0" w:sz="0" w:val="nil"/>
          <w:bottom w:space="0" w:sz="0" w:val="nil"/>
          <w:right w:space="0" w:sz="0" w:val="nil"/>
          <w:between w:space="0" w:sz="0" w:val="nil"/>
        </w:pBdr>
        <w:spacing w:before="0" w:lineRule="auto"/>
        <w:ind w:left="567" w:hanging="283"/>
        <w:rPr/>
      </w:pPr>
      <w:r w:rsidDel="00000000" w:rsidR="00000000" w:rsidRPr="00000000">
        <w:rPr>
          <w:rtl w:val="0"/>
        </w:rPr>
        <w:t xml:space="preserve">Recognise that many things are outside SG and FF control. As such, FF may be limited to highlighting how FF has enabled or contributed to a change.</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Rule="auto"/>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3: A 3 year endeavour</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rPr/>
      </w:pPr>
      <w:r w:rsidDel="00000000" w:rsidR="00000000" w:rsidRPr="00000000">
        <w:rPr>
          <w:rtl w:val="0"/>
        </w:rPr>
        <w:t xml:space="preserve">The SG discussed the opportunities and implications of setting a 3 year lifespan for FlexForum as a way to think about what and how would be done to have the greatest impact.</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rPr/>
      </w:pPr>
      <w:r w:rsidDel="00000000" w:rsidR="00000000" w:rsidRPr="00000000">
        <w:rPr>
          <w:rtl w:val="0"/>
        </w:rPr>
        <w:t xml:space="preserve">The SG requested that a 3-year plan be articulated to use in conversations with Members and partners about how FF can add value in the short and medium term.</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rPr/>
      </w:pPr>
      <w:r w:rsidDel="00000000" w:rsidR="00000000" w:rsidRPr="00000000">
        <w:rPr>
          <w:rtl w:val="0"/>
        </w:rPr>
        <w:t xml:space="preserve">Being able to describe outputs and achievements to be delivered in the next 3 years is better than presenting a long list of tasks requiring a decade of effort. </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rPr/>
      </w:pPr>
      <w:r w:rsidDel="00000000" w:rsidR="00000000" w:rsidRPr="00000000">
        <w:rPr>
          <w:rtl w:val="0"/>
        </w:rPr>
        <w:t xml:space="preserve">The approach aligns with a start-up approach – year 1 is foundational, year 2 is preparation, and year 3 is implementing the minimum viable product in market. FF could ask itself – what would be implemented in year 3? And then work backwards to identify what testing etc is needed to get to the MVP.</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rPr/>
      </w:pPr>
      <w:r w:rsidDel="00000000" w:rsidR="00000000" w:rsidRPr="00000000">
        <w:rPr>
          <w:rtl w:val="0"/>
        </w:rPr>
        <w:t xml:space="preserve">The 3-year cycle has parallels with the</w:t>
      </w:r>
      <w:r w:rsidDel="00000000" w:rsidR="00000000" w:rsidRPr="00000000">
        <w:rPr>
          <w:rFonts w:ascii="Abadi" w:cs="Abadi" w:eastAsia="Abadi" w:hAnsi="Abadi"/>
          <w:rtl w:val="0"/>
        </w:rPr>
        <w:t xml:space="preserve"> </w:t>
      </w:r>
      <w:hyperlink r:id="rId9">
        <w:r w:rsidDel="00000000" w:rsidR="00000000" w:rsidRPr="00000000">
          <w:rPr>
            <w:rFonts w:ascii="Abadi" w:cs="Abadi" w:eastAsia="Abadi" w:hAnsi="Abadi"/>
            <w:color w:val="1967d2"/>
            <w:highlight w:val="white"/>
            <w:u w:val="single"/>
            <w:rtl w:val="0"/>
          </w:rPr>
          <w:t xml:space="preserve">Ofgem Strategic Innovation Fund</w:t>
        </w:r>
      </w:hyperlink>
      <w:r w:rsidDel="00000000" w:rsidR="00000000" w:rsidRPr="00000000">
        <w:rPr>
          <w:rFonts w:ascii="Roboto" w:cs="Roboto" w:eastAsia="Roboto" w:hAnsi="Roboto"/>
          <w:color w:val="202124"/>
          <w:highlight w:val="white"/>
          <w:rtl w:val="0"/>
        </w:rPr>
        <w:t xml:space="preserve">. </w:t>
      </w:r>
      <w:r w:rsidDel="00000000" w:rsidR="00000000" w:rsidRPr="00000000">
        <w:rPr>
          <w:rtl w:val="0"/>
        </w:rPr>
        <w:t xml:space="preserve">Each stage should be demonstrating value while building momentum.</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60" w:before="400" w:lineRule="auto"/>
        <w:rPr>
          <w:rFonts w:ascii="Abadi MT Pro" w:cs="Abadi MT Pro" w:eastAsia="Abadi MT Pro" w:hAnsi="Abadi MT Pro"/>
          <w:color w:val="002387"/>
          <w:sz w:val="40"/>
          <w:szCs w:val="40"/>
        </w:rPr>
      </w:pPr>
      <w:r w:rsidDel="00000000" w:rsidR="00000000" w:rsidRPr="00000000">
        <w:rPr>
          <w:rFonts w:ascii="Abadi MT Pro" w:cs="Abadi MT Pro" w:eastAsia="Abadi MT Pro" w:hAnsi="Abadi MT Pro"/>
          <w:color w:val="002387"/>
          <w:sz w:val="40"/>
          <w:szCs w:val="40"/>
          <w:rtl w:val="0"/>
        </w:rPr>
        <w:t xml:space="preserve">Standing items</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Rule="auto"/>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4: Engagement update</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rPr/>
      </w:pPr>
      <w:r w:rsidDel="00000000" w:rsidR="00000000" w:rsidRPr="00000000">
        <w:rPr>
          <w:rtl w:val="0"/>
        </w:rPr>
        <w:t xml:space="preserve">The SG noted the completed and planned engagement activity.</w:t>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the Parliamentary Commissioner for the Environment and Infrastructure Commission want a briefing and conversation about the workplan</w:t>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conversations are being arranged with prospective Members. </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Rule="auto"/>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5: Workplan update</w:t>
      </w:r>
    </w:p>
    <w:p w:rsidR="00000000" w:rsidDel="00000000" w:rsidP="00000000" w:rsidRDefault="00000000" w:rsidRPr="00000000" w14:paraId="00000037">
      <w:pPr>
        <w:rPr/>
      </w:pPr>
      <w:r w:rsidDel="00000000" w:rsidR="00000000" w:rsidRPr="00000000">
        <w:rPr>
          <w:rtl w:val="0"/>
        </w:rPr>
        <w:t xml:space="preserve">The SG noted the workplan update.</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the workplan tracker and reporting framework is a work in progress and will be further refined. The SG requested creation of a single task and activity reporting tracker including workplan tasks, funding agreement deliverables and other activities</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the funding agreement deliverables are on track. The next key deliverable is the engagement plan due 31 May </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EECA has asked if FF could undertake a new workplan task to provide advice about assisting businesses with energy intensive activities that could be decarbonised with information/tools they can use to explore the full potential of flexibility offerings, including quantifying additional financial (capital or operational) and non-financial benefits available from flexibility. The SG requested more information about the scope of the proposed task to help it understand the implications for FF, including how FF gets value from the exercise. </w:t>
      </w:r>
    </w:p>
    <w:p w:rsidR="00000000" w:rsidDel="00000000" w:rsidP="00000000" w:rsidRDefault="00000000" w:rsidRPr="00000000" w14:paraId="0000003B">
      <w:pPr>
        <w:numPr>
          <w:ilvl w:val="1"/>
          <w:numId w:val="2"/>
        </w:numPr>
        <w:pBdr>
          <w:top w:space="0" w:sz="0" w:val="nil"/>
          <w:left w:space="0" w:sz="0" w:val="nil"/>
          <w:bottom w:space="0" w:sz="0" w:val="nil"/>
          <w:right w:space="0" w:sz="0" w:val="nil"/>
          <w:between w:space="0" w:sz="0" w:val="nil"/>
        </w:pBdr>
        <w:spacing w:after="0" w:lineRule="auto"/>
        <w:ind w:left="567" w:hanging="283"/>
        <w:rPr/>
      </w:pPr>
      <w:r w:rsidDel="00000000" w:rsidR="00000000" w:rsidRPr="00000000">
        <w:rPr>
          <w:rtl w:val="0"/>
        </w:rPr>
        <w:t xml:space="preserve">the FF value add over a traditional consultant is obtaining and facilitating diverse opinions</w:t>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after="0" w:before="0" w:lineRule="auto"/>
        <w:ind w:left="567" w:hanging="283"/>
        <w:rPr/>
      </w:pPr>
      <w:r w:rsidDel="00000000" w:rsidR="00000000" w:rsidRPr="00000000">
        <w:rPr>
          <w:rtl w:val="0"/>
        </w:rPr>
        <w:t xml:space="preserve">more information about the purpose and objective of the project is needed to understand if it is a core FF activity and if there is risk/liability issues</w:t>
      </w:r>
    </w:p>
    <w:p w:rsidR="00000000" w:rsidDel="00000000" w:rsidP="00000000" w:rsidRDefault="00000000" w:rsidRPr="00000000" w14:paraId="0000003D">
      <w:pPr>
        <w:numPr>
          <w:ilvl w:val="1"/>
          <w:numId w:val="2"/>
        </w:numPr>
        <w:pBdr>
          <w:top w:space="0" w:sz="0" w:val="nil"/>
          <w:left w:space="0" w:sz="0" w:val="nil"/>
          <w:bottom w:space="0" w:sz="0" w:val="nil"/>
          <w:right w:space="0" w:sz="0" w:val="nil"/>
          <w:between w:space="0" w:sz="0" w:val="nil"/>
        </w:pBdr>
        <w:spacing w:before="0" w:lineRule="auto"/>
        <w:ind w:left="567" w:hanging="283"/>
        <w:rPr/>
      </w:pPr>
      <w:r w:rsidDel="00000000" w:rsidR="00000000" w:rsidRPr="00000000">
        <w:rPr>
          <w:rtl w:val="0"/>
        </w:rPr>
        <w:t xml:space="preserve">an output something like </w:t>
      </w:r>
      <w:hyperlink r:id="rId10">
        <w:r w:rsidDel="00000000" w:rsidR="00000000" w:rsidRPr="00000000">
          <w:rPr>
            <w:rFonts w:ascii="Roboto" w:cs="Roboto" w:eastAsia="Roboto" w:hAnsi="Roboto"/>
            <w:color w:val="1967d2"/>
            <w:highlight w:val="white"/>
            <w:u w:val="single"/>
            <w:rtl w:val="0"/>
          </w:rPr>
          <w:t xml:space="preserve">this Energy UK Connecting your Fleet guide</w:t>
        </w:r>
      </w:hyperlink>
      <w:r w:rsidDel="00000000" w:rsidR="00000000" w:rsidRPr="00000000">
        <w:rPr>
          <w:highlight w:val="white"/>
          <w:rtl w:val="0"/>
        </w:rPr>
        <w:t xml:space="preserve"> for commercial flexibility </w:t>
      </w:r>
      <w:r w:rsidDel="00000000" w:rsidR="00000000" w:rsidRPr="00000000">
        <w:rPr>
          <w:rtl w:val="0"/>
        </w:rPr>
        <w:t xml:space="preserve">could be useful. </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Rule="auto"/>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6: Finance update</w:t>
      </w:r>
    </w:p>
    <w:p w:rsidR="00000000" w:rsidDel="00000000" w:rsidP="00000000" w:rsidRDefault="00000000" w:rsidRPr="00000000" w14:paraId="0000003F">
      <w:pPr>
        <w:rPr/>
      </w:pPr>
      <w:r w:rsidDel="00000000" w:rsidR="00000000" w:rsidRPr="00000000">
        <w:rPr>
          <w:rtl w:val="0"/>
        </w:rPr>
        <w:t xml:space="preserve">The SG noted the finance update.</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60" w:before="400" w:lineRule="auto"/>
        <w:rPr>
          <w:rFonts w:ascii="Abadi MT Pro" w:cs="Abadi MT Pro" w:eastAsia="Abadi MT Pro" w:hAnsi="Abadi MT Pro"/>
          <w:color w:val="002387"/>
          <w:sz w:val="40"/>
          <w:szCs w:val="40"/>
        </w:rPr>
      </w:pPr>
      <w:r w:rsidDel="00000000" w:rsidR="00000000" w:rsidRPr="00000000">
        <w:rPr>
          <w:rFonts w:ascii="Abadi MT Pro" w:cs="Abadi MT Pro" w:eastAsia="Abadi MT Pro" w:hAnsi="Abadi MT Pro"/>
          <w:color w:val="002387"/>
          <w:sz w:val="40"/>
          <w:szCs w:val="40"/>
          <w:rtl w:val="0"/>
        </w:rPr>
        <w:t xml:space="preserve">Procedural items </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Rule="auto"/>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7: Membership requests</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113" w:before="0" w:lineRule="auto"/>
        <w:rPr>
          <w:rFonts w:ascii="Times New Roman" w:cs="Times New Roman" w:eastAsia="Times New Roman" w:hAnsi="Times New Roman"/>
        </w:rPr>
      </w:pPr>
      <w:r w:rsidDel="00000000" w:rsidR="00000000" w:rsidRPr="00000000">
        <w:rPr>
          <w:rtl w:val="0"/>
        </w:rPr>
        <w:t xml:space="preserve">The SG noted Basis asked to join FlexForum on 2 April 2024.</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Rule="auto"/>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8: Actions</w:t>
      </w:r>
    </w:p>
    <w:p w:rsidR="00000000" w:rsidDel="00000000" w:rsidP="00000000" w:rsidRDefault="00000000" w:rsidRPr="00000000" w14:paraId="00000044">
      <w:pPr>
        <w:rPr/>
      </w:pPr>
      <w:r w:rsidDel="00000000" w:rsidR="00000000" w:rsidRPr="00000000">
        <w:rPr>
          <w:rtl w:val="0"/>
        </w:rPr>
        <w:t xml:space="preserve">The SG noted the status of actions from previous sessions.</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Rule="auto"/>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9: Next Steering Group meeting</w:t>
      </w:r>
    </w:p>
    <w:p w:rsidR="00000000" w:rsidDel="00000000" w:rsidP="00000000" w:rsidRDefault="00000000" w:rsidRPr="00000000" w14:paraId="00000046">
      <w:pPr>
        <w:rPr>
          <w:rFonts w:ascii="Abadi MT Pro" w:cs="Abadi MT Pro" w:eastAsia="Abadi MT Pro" w:hAnsi="Abadi MT Pro"/>
          <w:color w:val="002387"/>
          <w:sz w:val="28"/>
          <w:szCs w:val="28"/>
        </w:rPr>
      </w:pPr>
      <w:r w:rsidDel="00000000" w:rsidR="00000000" w:rsidRPr="00000000">
        <w:rPr>
          <w:rtl w:val="0"/>
        </w:rPr>
        <w:t xml:space="preserve">The SG agreed to reschedule its monthly meeting to the 2</w:t>
      </w:r>
      <w:r w:rsidDel="00000000" w:rsidR="00000000" w:rsidRPr="00000000">
        <w:rPr>
          <w:vertAlign w:val="superscript"/>
          <w:rtl w:val="0"/>
        </w:rPr>
        <w:t xml:space="preserve">nd</w:t>
      </w:r>
      <w:r w:rsidDel="00000000" w:rsidR="00000000" w:rsidRPr="00000000">
        <w:rPr>
          <w:rtl w:val="0"/>
        </w:rPr>
        <w:t xml:space="preserve"> Thursday of each month starting 9 May.</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260"/>
          <w:tab w:val="left" w:leader="none" w:pos="520"/>
          <w:tab w:val="left" w:leader="none" w:pos="780"/>
          <w:tab w:val="left" w:leader="none" w:pos="1040"/>
          <w:tab w:val="left" w:leader="none" w:pos="1300"/>
          <w:tab w:val="left" w:leader="none" w:pos="1560"/>
          <w:tab w:val="left" w:leader="none" w:pos="1820"/>
          <w:tab w:val="left" w:leader="none" w:pos="2080"/>
          <w:tab w:val="left" w:leader="none" w:pos="2340"/>
          <w:tab w:val="left" w:leader="none" w:pos="2600"/>
          <w:tab w:val="left" w:leader="none" w:pos="2860"/>
          <w:tab w:val="left" w:leader="none" w:pos="3120"/>
          <w:tab w:val="left" w:leader="none" w:pos="3380"/>
          <w:tab w:val="left" w:leader="none" w:pos="3640"/>
          <w:tab w:val="left" w:leader="none" w:pos="3900"/>
          <w:tab w:val="left" w:leader="none" w:pos="4160"/>
          <w:tab w:val="left" w:leader="none" w:pos="4420"/>
          <w:tab w:val="left" w:leader="none" w:pos="4680"/>
          <w:tab w:val="left" w:leader="none" w:pos="4940"/>
          <w:tab w:val="left" w:leader="none" w:pos="5200"/>
          <w:tab w:val="left" w:leader="none" w:pos="5460"/>
          <w:tab w:val="left" w:leader="none" w:pos="5720"/>
          <w:tab w:val="left" w:leader="none" w:pos="5980"/>
          <w:tab w:val="left" w:leader="none" w:pos="6240"/>
          <w:tab w:val="left" w:leader="none" w:pos="6500"/>
          <w:tab w:val="left" w:leader="none" w:pos="6760"/>
          <w:tab w:val="left" w:leader="none" w:pos="7020"/>
          <w:tab w:val="left" w:leader="none" w:pos="7280"/>
          <w:tab w:val="left" w:leader="none" w:pos="7540"/>
          <w:tab w:val="left" w:leader="none" w:pos="7800"/>
          <w:tab w:val="left" w:leader="none" w:pos="8060"/>
          <w:tab w:val="left" w:leader="none" w:pos="8320"/>
          <w:tab w:val="left" w:leader="none" w:pos="8580"/>
          <w:tab w:val="left" w:leader="none" w:pos="8840"/>
          <w:tab w:val="left" w:leader="none" w:pos="9100"/>
          <w:tab w:val="left" w:leader="none" w:pos="9360"/>
          <w:tab w:val="left" w:leader="none" w:pos="9620"/>
          <w:tab w:val="left" w:leader="none" w:pos="9880"/>
        </w:tabs>
        <w:spacing w:after="57" w:before="400" w:lineRule="auto"/>
        <w:rPr>
          <w:rFonts w:ascii="Abadi MT Pro" w:cs="Abadi MT Pro" w:eastAsia="Abadi MT Pro" w:hAnsi="Abadi MT Pro"/>
          <w:color w:val="002387"/>
          <w:sz w:val="28"/>
          <w:szCs w:val="28"/>
        </w:rPr>
      </w:pPr>
      <w:r w:rsidDel="00000000" w:rsidR="00000000" w:rsidRPr="00000000">
        <w:rPr>
          <w:rFonts w:ascii="Abadi MT Pro" w:cs="Abadi MT Pro" w:eastAsia="Abadi MT Pro" w:hAnsi="Abadi MT Pro"/>
          <w:color w:val="002387"/>
          <w:sz w:val="28"/>
          <w:szCs w:val="28"/>
          <w:rtl w:val="0"/>
        </w:rPr>
        <w:t xml:space="preserve">10: Any other business</w:t>
      </w:r>
    </w:p>
    <w:p w:rsidR="00000000" w:rsidDel="00000000" w:rsidP="00000000" w:rsidRDefault="00000000" w:rsidRPr="00000000" w14:paraId="00000048">
      <w:pPr>
        <w:rPr/>
      </w:pPr>
      <w:r w:rsidDel="00000000" w:rsidR="00000000" w:rsidRPr="00000000">
        <w:rPr>
          <w:rtl w:val="0"/>
        </w:rPr>
        <w:t xml:space="preserve">The SG discussed two items of other business.</w:t>
      </w:r>
    </w:p>
    <w:p w:rsidR="00000000" w:rsidDel="00000000" w:rsidP="00000000" w:rsidRDefault="00000000" w:rsidRPr="00000000" w14:paraId="00000049">
      <w:pPr>
        <w:numPr>
          <w:ilvl w:val="0"/>
          <w:numId w:val="2"/>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A process for FF to decide whether to respond to a regulatory consultation or otherwise decides to provide a FF perspective on an issue. The SG agreed principles are required to decide whether to allocate resources to a consultation or to provide advice, including that the process should be initiated by Members</w:t>
      </w:r>
    </w:p>
    <w:p w:rsidR="00000000" w:rsidDel="00000000" w:rsidP="00000000" w:rsidRDefault="00000000" w:rsidRPr="00000000" w14:paraId="0000004A">
      <w:pPr>
        <w:numPr>
          <w:ilvl w:val="0"/>
          <w:numId w:val="2"/>
        </w:numPr>
        <w:pBdr>
          <w:top w:space="0" w:sz="0" w:val="nil"/>
          <w:left w:space="0" w:sz="0" w:val="nil"/>
          <w:bottom w:space="0" w:sz="0" w:val="nil"/>
          <w:right w:space="0" w:sz="0" w:val="nil"/>
          <w:between w:space="0" w:sz="0" w:val="nil"/>
        </w:pBdr>
        <w:ind w:left="284" w:hanging="284"/>
        <w:rPr/>
      </w:pPr>
      <w:r w:rsidDel="00000000" w:rsidR="00000000" w:rsidRPr="00000000">
        <w:rPr>
          <w:rtl w:val="0"/>
        </w:rPr>
        <w:t xml:space="preserve">timing of the AGM. The SG noted the AGM is flagged for August in the Incorporated Societies Register but can be at another time so long as it is within 6 months of the 30 March 2024. The AGM is a key date because that is when the workplan and budget must be approved by Members, and this will influence subscriptions and invoicing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Finish 12.02</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headerReference r:id="rId11" w:type="default"/>
      <w:footerReference r:id="rId12" w:type="default"/>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Abadi MT Pro"/>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badi"/>
  <w:font w:name="Abadi MT Pro Ligh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pict>
        <v:shape id="PowerPlusWaterMarkObject1" style="position:absolute;width:526.4243201914987pt;height:213.59911682477247pt;rotation:315;z-index:-503316481;mso-position-horizontal-relative:margin;mso-position-horizontal:center;mso-position-vertical-relative:margin;mso-position-vertical:center;" fillcolor="#c0c0c0" stroked="f" type="#_x0000_t136">
          <v:fill angle="0" opacity="32768f"/>
          <v:textpath fitshape="t" string="FINAL" style="font-family:&amp;quot;&quot;&amp;quot&quot;&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0"/>
        <w:szCs w:val="2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0"/>
      <w:numFmt w:val="bullet"/>
      <w:lvlText w:val="•"/>
      <w:lvlJc w:val="left"/>
      <w:pPr>
        <w:ind w:left="360" w:hanging="360"/>
      </w:pPr>
      <w:rPr>
        <w:rFonts w:ascii="Abadi" w:cs="Abadi" w:eastAsia="Abadi" w:hAnsi="Abadi"/>
        <w:sz w:val="22"/>
        <w:szCs w:val="22"/>
      </w:rPr>
    </w:lvl>
    <w:lvl w:ilvl="1">
      <w:start w:val="1"/>
      <w:numFmt w:val="bullet"/>
      <w:lvlText w:val="o"/>
      <w:lvlJc w:val="left"/>
      <w:pPr>
        <w:ind w:left="850" w:hanging="425"/>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badi MT Pro Light" w:cs="Abadi MT Pro Light" w:eastAsia="Abadi MT Pro Light" w:hAnsi="Abadi MT Pro Light"/>
        <w:lang w:val="en-US"/>
      </w:rPr>
    </w:rPrDefault>
    <w:pPrDefault>
      <w:pPr>
        <w:spacing w:after="60" w:before="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D75F61"/>
    <w:rPr>
      <w:rFonts w:eastAsiaTheme="minorHAnsi"/>
      <w:color w:val="000000"/>
      <w:lang w:eastAsia="en-US" w:val="en-US"/>
    </w:rPr>
  </w:style>
  <w:style w:type="paragraph" w:styleId="Heading1">
    <w:name w:val="heading 1"/>
    <w:basedOn w:val="Normal"/>
    <w:next w:val="Normal"/>
    <w:uiPriority w:val="9"/>
    <w:qFormat w:val="1"/>
    <w:pPr>
      <w:keepNext w:val="1"/>
      <w:keepLines w:val="1"/>
      <w:spacing w:before="240"/>
      <w:outlineLvl w:val="0"/>
    </w:pPr>
    <w:rPr>
      <w:rFonts w:ascii="Calibri" w:cs="Calibri" w:eastAsia="Calibri" w:hAnsi="Calibri"/>
      <w:color w:val="2f5496"/>
      <w:sz w:val="32"/>
      <w:szCs w:val="32"/>
    </w:rPr>
  </w:style>
  <w:style w:type="paragraph" w:styleId="Heading2">
    <w:name w:val="heading 2"/>
    <w:basedOn w:val="Normal"/>
    <w:next w:val="Normal"/>
    <w:uiPriority w:val="9"/>
    <w:semiHidden w:val="1"/>
    <w:unhideWhenUsed w:val="1"/>
    <w:qFormat w:val="1"/>
    <w:pPr>
      <w:keepNext w:val="1"/>
      <w:keepLines w:val="1"/>
      <w:spacing w:before="40"/>
      <w:outlineLvl w:val="1"/>
    </w:pPr>
    <w:rPr>
      <w:rFonts w:ascii="Calibri" w:cs="Calibri" w:eastAsia="Calibri" w:hAnsi="Calibri"/>
      <w:color w:val="2f5496"/>
      <w:sz w:val="26"/>
      <w:szCs w:val="26"/>
    </w:rPr>
  </w:style>
  <w:style w:type="paragraph" w:styleId="Heading3">
    <w:name w:val="heading 3"/>
    <w:basedOn w:val="Normal"/>
    <w:next w:val="Normal"/>
    <w:uiPriority w:val="9"/>
    <w:semiHidden w:val="1"/>
    <w:unhideWhenUsed w:val="1"/>
    <w:qFormat w:val="1"/>
    <w:pPr>
      <w:keepNext w:val="1"/>
      <w:keepLines w:val="1"/>
      <w:spacing w:before="40"/>
      <w:outlineLvl w:val="2"/>
    </w:pPr>
    <w:rPr>
      <w:rFonts w:ascii="Calibri" w:cs="Calibri" w:eastAsia="Calibri" w:hAnsi="Calibri"/>
      <w:color w:val="1f3863"/>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Pr>
      <w:rFonts w:ascii="Calibri" w:cs="Calibri" w:eastAsia="Calibri" w:hAnsi="Calibri"/>
      <w:sz w:val="56"/>
      <w:szCs w:val="5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10" w:customStyle="1">
    <w:name w:val="10"/>
    <w:basedOn w:val="TableNormal"/>
    <w:rPr>
      <w:color w:val="595959"/>
      <w:sz w:val="30"/>
      <w:szCs w:val="30"/>
    </w:rPr>
    <w:tblPr>
      <w:tblStyleRowBandSize w:val="1"/>
      <w:tblStyleColBandSize w:val="1"/>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9" w:customStyle="1">
    <w:name w:val="9"/>
    <w:basedOn w:val="TableNormal"/>
    <w:rPr>
      <w:color w:val="595959"/>
      <w:sz w:val="30"/>
      <w:szCs w:val="30"/>
    </w:rPr>
    <w:tblPr>
      <w:tblStyleRowBandSize w:val="1"/>
      <w:tblStyleColBandSize w:val="1"/>
    </w:tbl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8" w:customStyle="1">
    <w:name w:val="8"/>
    <w:basedOn w:val="TableNormal"/>
    <w:rPr>
      <w:rFonts w:ascii="Calibri" w:cs="Calibri" w:eastAsia="Calibri" w:hAnsi="Calibri"/>
      <w:color w:val="000000"/>
    </w:rPr>
    <w:tblPr>
      <w:tblStyleRowBandSize w:val="1"/>
      <w:tblStyleColBandSize w:val="1"/>
      <w:tblCellMar>
        <w:top w:w="100.0" w:type="dxa"/>
        <w:left w:w="100.0" w:type="dxa"/>
        <w:bottom w:w="100.0" w:type="dxa"/>
        <w:right w:w="100.0" w:type="dxa"/>
      </w:tblCellMar>
    </w:tblPr>
    <w:tcPr>
      <w:shd w:color="auto" w:fill="ffffff" w:val="clear"/>
    </w:tcPr>
    <w:tblStylePr w:type="firstRow">
      <w:rPr>
        <w:b w:val="1"/>
        <w:i w:val="0"/>
      </w:rPr>
      <w:tblPr/>
      <w:tcPr>
        <w:tcBorders>
          <w:bottom w:color="000000" w:space="0" w:sz="8" w:val="single"/>
        </w:tcBorders>
        <w:shd w:color="auto" w:fill="ffffff" w:val="clear"/>
      </w:tcPr>
    </w:tblStylePr>
    <w:tblStylePr w:type="lastRow">
      <w:rPr>
        <w:b w:val="1"/>
        <w:i w:val="0"/>
      </w:rPr>
      <w:tblPr/>
      <w:tcPr>
        <w:tcBorders>
          <w:top w:color="000000" w:space="0" w:sz="8" w:val="single"/>
        </w:tcBorders>
        <w:shd w:color="auto" w:fill="ffffff" w:val="clear"/>
      </w:tcPr>
    </w:tblStylePr>
    <w:tblStylePr w:type="firstCol">
      <w:rPr>
        <w:b w:val="1"/>
        <w:i w:val="0"/>
      </w:rPr>
    </w:tblStylePr>
    <w:tblStylePr w:type="lastCol">
      <w:rPr>
        <w:b w:val="1"/>
        <w:i w:val="0"/>
      </w:rPr>
    </w:tblStylePr>
    <w:tblStylePr w:type="band1Vert">
      <w:rPr>
        <w:b w:val="0"/>
        <w:i w:val="0"/>
      </w:rPr>
      <w:tblPr/>
      <w:tcPr>
        <w:shd w:color="auto" w:fill="000000" w:val="clear"/>
      </w:tcPr>
    </w:tblStylePr>
    <w:tblStylePr w:type="band2Vert">
      <w:rPr>
        <w:b w:val="0"/>
        <w:i w:val="0"/>
      </w:rPr>
    </w:tblStylePr>
    <w:tblStylePr w:type="band1Horz">
      <w:rPr>
        <w:b w:val="0"/>
        <w:i w:val="0"/>
      </w:rPr>
      <w:tblPr/>
      <w:tcPr>
        <w:shd w:color="auto" w:fill="000000" w:val="clear"/>
      </w:tcPr>
    </w:tblStylePr>
    <w:tblStylePr w:type="band2Horz">
      <w:rPr>
        <w:b w:val="0"/>
        <w:i w:val="0"/>
      </w:rPr>
    </w:tblStylePr>
    <w:tblStylePr w:type="neCell">
      <w:rPr>
        <w:b w:val="0"/>
        <w:i w:val="0"/>
      </w:rPr>
    </w:tblStylePr>
    <w:tblStylePr w:type="nwCell">
      <w:rPr>
        <w:b w:val="0"/>
        <w:i w:val="0"/>
      </w:rPr>
    </w:tblStylePr>
    <w:tblStylePr w:type="seCell">
      <w:rPr>
        <w:b w:val="0"/>
        <w:i w:val="0"/>
      </w:rPr>
    </w:tblStylePr>
    <w:tblStylePr w:type="swCell">
      <w:rPr>
        <w:b w:val="0"/>
        <w:i w:val="0"/>
      </w:rPr>
    </w:tblStylePr>
  </w:style>
  <w:style w:type="table" w:styleId="7" w:customStyle="1">
    <w:name w:val="7"/>
    <w:basedOn w:val="TableNormal"/>
    <w:rPr>
      <w:rFonts w:ascii="Calibri" w:cs="Calibri" w:eastAsia="Calibri" w:hAnsi="Calibri"/>
      <w:color w:val="000000"/>
      <w:sz w:val="30"/>
      <w:szCs w:val="30"/>
    </w:rPr>
    <w:tblPr>
      <w:tblStyleRowBandSize w:val="1"/>
      <w:tblStyleColBandSize w:val="1"/>
      <w:tblCellMar>
        <w:left w:w="115.0" w:type="dxa"/>
        <w:right w:w="115.0" w:type="dxa"/>
      </w:tblCellMar>
    </w:tblPr>
    <w:tcPr>
      <w:shd w:color="auto" w:fill="ffffff"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6" w:customStyle="1">
    <w:name w:val="6"/>
    <w:basedOn w:val="TableNormal"/>
    <w:rPr>
      <w:rFonts w:ascii="Calibri" w:cs="Calibri" w:eastAsia="Calibri" w:hAnsi="Calibri"/>
      <w:color w:val="000000"/>
      <w:sz w:val="30"/>
      <w:szCs w:val="30"/>
    </w:rPr>
    <w:tblPr>
      <w:tblStyleRowBandSize w:val="1"/>
      <w:tblStyleColBandSize w:val="1"/>
      <w:tblCellMar>
        <w:left w:w="115.0" w:type="dxa"/>
        <w:right w:w="115.0" w:type="dxa"/>
      </w:tblCellMar>
    </w:tblPr>
    <w:tcPr>
      <w:shd w:color="auto" w:fill="ffffff"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5" w:customStyle="1">
    <w:name w:val="5"/>
    <w:basedOn w:val="TableNormal"/>
    <w:tblPr>
      <w:tblStyleRowBandSize w:val="1"/>
      <w:tblStyleColBandSize w:val="1"/>
      <w:tblCellMar>
        <w:top w:w="100.0" w:type="dxa"/>
        <w:left w:w="100.0" w:type="dxa"/>
        <w:bottom w:w="100.0" w:type="dxa"/>
        <w:right w:w="100.0" w:type="dxa"/>
      </w:tblCellMar>
    </w:tblPr>
  </w:style>
  <w:style w:type="table" w:styleId="4" w:customStyle="1">
    <w:name w:val="4"/>
    <w:basedOn w:val="TableNormal"/>
    <w:rPr>
      <w:rFonts w:ascii="Calibri" w:cs="Calibri" w:eastAsia="Calibri" w:hAnsi="Calibri"/>
      <w:color w:val="000000"/>
      <w:sz w:val="30"/>
      <w:szCs w:val="30"/>
    </w:rPr>
    <w:tblPr>
      <w:tblStyleRowBandSize w:val="1"/>
      <w:tblStyleColBandSize w:val="1"/>
      <w:tblCellMar>
        <w:top w:w="100.0" w:type="dxa"/>
        <w:left w:w="100.0" w:type="dxa"/>
        <w:bottom w:w="100.0" w:type="dxa"/>
        <w:right w:w="100.0" w:type="dxa"/>
      </w:tblCellMar>
    </w:tblPr>
    <w:tcPr>
      <w:shd w:color="auto" w:fill="ffffff"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3" w:customStyle="1">
    <w:name w:val="3"/>
    <w:basedOn w:val="TableNormal"/>
    <w:rPr>
      <w:rFonts w:ascii="Calibri" w:cs="Calibri" w:eastAsia="Calibri" w:hAnsi="Calibri"/>
      <w:color w:val="000000"/>
      <w:sz w:val="30"/>
      <w:szCs w:val="30"/>
    </w:rPr>
    <w:tblPr>
      <w:tblStyleRowBandSize w:val="1"/>
      <w:tblStyleColBandSize w:val="1"/>
      <w:tblCellMar>
        <w:top w:w="100.0" w:type="dxa"/>
        <w:left w:w="100.0" w:type="dxa"/>
        <w:bottom w:w="100.0" w:type="dxa"/>
        <w:right w:w="100.0" w:type="dxa"/>
      </w:tblCellMar>
    </w:tblPr>
    <w:tcPr>
      <w:shd w:color="auto" w:fill="ffffff"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2" w:customStyle="1">
    <w:name w:val="2"/>
    <w:basedOn w:val="TableNormal"/>
    <w:rPr>
      <w:rFonts w:ascii="Calibri" w:cs="Calibri" w:eastAsia="Calibri" w:hAnsi="Calibri"/>
      <w:color w:val="000000"/>
      <w:sz w:val="30"/>
      <w:szCs w:val="30"/>
    </w:rPr>
    <w:tblPr>
      <w:tblStyleRowBandSize w:val="1"/>
      <w:tblStyleColBandSize w:val="1"/>
      <w:tblCellMar>
        <w:top w:w="100.0" w:type="dxa"/>
        <w:left w:w="100.0" w:type="dxa"/>
        <w:bottom w:w="100.0" w:type="dxa"/>
        <w:right w:w="100.0" w:type="dxa"/>
      </w:tblCellMar>
    </w:tblPr>
    <w:tcPr>
      <w:shd w:color="auto" w:fill="ffffff"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1" w:customStyle="1">
    <w:name w:val="1"/>
    <w:basedOn w:val="TableNormal"/>
    <w:rPr>
      <w:rFonts w:ascii="Calibri" w:cs="Calibri" w:eastAsia="Calibri" w:hAnsi="Calibri"/>
      <w:color w:val="000000"/>
      <w:sz w:val="30"/>
      <w:szCs w:val="30"/>
    </w:rPr>
    <w:tblPr>
      <w:tblStyleRowBandSize w:val="1"/>
      <w:tblStyleColBandSize w:val="1"/>
      <w:tblCellMar>
        <w:top w:w="100.0" w:type="dxa"/>
        <w:left w:w="100.0" w:type="dxa"/>
        <w:bottom w:w="100.0" w:type="dxa"/>
        <w:right w:w="100.0" w:type="dxa"/>
      </w:tblCellMar>
    </w:tblPr>
    <w:tcPr>
      <w:shd w:color="auto" w:fill="ffffff"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paragraph" w:styleId="FFSmallHeading" w:customStyle="1">
    <w:name w:val="FF Small Heading"/>
    <w:basedOn w:val="Heading2"/>
    <w:qFormat w:val="1"/>
    <w:rsid w:val="00B10EF4"/>
    <w:pPr>
      <w:keepNext w:val="0"/>
      <w:keepLines w:val="0"/>
      <w:tabs>
        <w:tab w:val="left" w:pos="260"/>
        <w:tab w:val="left" w:pos="520"/>
        <w:tab w:val="left" w:pos="780"/>
        <w:tab w:val="left" w:pos="1040"/>
        <w:tab w:val="left" w:pos="1300"/>
        <w:tab w:val="left" w:pos="1560"/>
        <w:tab w:val="left" w:pos="1820"/>
        <w:tab w:val="left" w:pos="2080"/>
        <w:tab w:val="left" w:pos="2340"/>
        <w:tab w:val="left" w:pos="2600"/>
        <w:tab w:val="left" w:pos="2860"/>
        <w:tab w:val="left" w:pos="3120"/>
        <w:tab w:val="left" w:pos="3380"/>
        <w:tab w:val="left" w:pos="3640"/>
        <w:tab w:val="left" w:pos="3900"/>
        <w:tab w:val="left" w:pos="4160"/>
        <w:tab w:val="left" w:pos="4420"/>
        <w:tab w:val="left" w:pos="4680"/>
        <w:tab w:val="left" w:pos="4940"/>
        <w:tab w:val="left" w:pos="5200"/>
        <w:tab w:val="left" w:pos="5460"/>
        <w:tab w:val="left" w:pos="5720"/>
        <w:tab w:val="left" w:pos="5980"/>
        <w:tab w:val="left" w:pos="6240"/>
        <w:tab w:val="left" w:pos="6500"/>
        <w:tab w:val="left" w:pos="6760"/>
        <w:tab w:val="left" w:pos="7020"/>
        <w:tab w:val="left" w:pos="7280"/>
        <w:tab w:val="left" w:pos="7540"/>
        <w:tab w:val="left" w:pos="7800"/>
        <w:tab w:val="left" w:pos="8060"/>
        <w:tab w:val="left" w:pos="8320"/>
        <w:tab w:val="left" w:pos="8580"/>
        <w:tab w:val="left" w:pos="8840"/>
        <w:tab w:val="left" w:pos="9100"/>
        <w:tab w:val="left" w:pos="9360"/>
        <w:tab w:val="left" w:pos="9620"/>
        <w:tab w:val="left" w:pos="9880"/>
      </w:tabs>
      <w:suppressAutoHyphens w:val="1"/>
      <w:autoSpaceDE w:val="0"/>
      <w:autoSpaceDN w:val="0"/>
      <w:adjustRightInd w:val="0"/>
      <w:spacing w:after="160" w:before="400" w:line="440" w:lineRule="atLeast"/>
      <w:textAlignment w:val="center"/>
    </w:pPr>
    <w:rPr>
      <w:rFonts w:ascii="Abadi MT Pro" w:cs="Abadi MT Pro" w:hAnsi="Abadi MT Pro" w:eastAsiaTheme="minorHAnsi"/>
      <w:color w:val="002387"/>
      <w:sz w:val="40"/>
      <w:szCs w:val="40"/>
    </w:rPr>
  </w:style>
  <w:style w:type="paragraph" w:styleId="FFSubHeading" w:customStyle="1">
    <w:name w:val="FF Sub Heading"/>
    <w:basedOn w:val="Normal"/>
    <w:qFormat w:val="1"/>
    <w:rsid w:val="00FB45A1"/>
    <w:pPr>
      <w:tabs>
        <w:tab w:val="left" w:pos="260"/>
        <w:tab w:val="left" w:pos="520"/>
        <w:tab w:val="left" w:pos="780"/>
        <w:tab w:val="left" w:pos="1040"/>
        <w:tab w:val="left" w:pos="1300"/>
        <w:tab w:val="left" w:pos="1560"/>
        <w:tab w:val="left" w:pos="1820"/>
        <w:tab w:val="left" w:pos="2080"/>
        <w:tab w:val="left" w:pos="2340"/>
        <w:tab w:val="left" w:pos="2600"/>
        <w:tab w:val="left" w:pos="2860"/>
        <w:tab w:val="left" w:pos="3120"/>
        <w:tab w:val="left" w:pos="3380"/>
        <w:tab w:val="left" w:pos="3640"/>
        <w:tab w:val="left" w:pos="3900"/>
        <w:tab w:val="left" w:pos="4160"/>
        <w:tab w:val="left" w:pos="4420"/>
        <w:tab w:val="left" w:pos="4680"/>
        <w:tab w:val="left" w:pos="4940"/>
        <w:tab w:val="left" w:pos="5200"/>
        <w:tab w:val="left" w:pos="5460"/>
        <w:tab w:val="left" w:pos="5720"/>
        <w:tab w:val="left" w:pos="5980"/>
        <w:tab w:val="left" w:pos="6240"/>
        <w:tab w:val="left" w:pos="6500"/>
        <w:tab w:val="left" w:pos="6760"/>
        <w:tab w:val="left" w:pos="7020"/>
        <w:tab w:val="left" w:pos="7280"/>
        <w:tab w:val="left" w:pos="7540"/>
        <w:tab w:val="left" w:pos="7800"/>
        <w:tab w:val="left" w:pos="8060"/>
        <w:tab w:val="left" w:pos="8320"/>
        <w:tab w:val="left" w:pos="8580"/>
        <w:tab w:val="left" w:pos="8840"/>
        <w:tab w:val="left" w:pos="9100"/>
        <w:tab w:val="left" w:pos="9360"/>
        <w:tab w:val="left" w:pos="9620"/>
        <w:tab w:val="left" w:pos="9880"/>
      </w:tabs>
      <w:suppressAutoHyphens w:val="1"/>
      <w:autoSpaceDE w:val="0"/>
      <w:autoSpaceDN w:val="0"/>
      <w:adjustRightInd w:val="0"/>
      <w:spacing w:after="57" w:before="400" w:line="300" w:lineRule="atLeast"/>
      <w:textAlignment w:val="center"/>
    </w:pPr>
    <w:rPr>
      <w:rFonts w:ascii="Abadi MT Pro" w:cs="Abadi MT Pro" w:hAnsi="Abadi MT Pro"/>
      <w:color w:val="002387"/>
      <w:sz w:val="28"/>
      <w:szCs w:val="28"/>
    </w:rPr>
  </w:style>
  <w:style w:type="paragraph" w:styleId="ListParagraph">
    <w:name w:val="List Paragraph"/>
    <w:basedOn w:val="Normal"/>
    <w:uiPriority w:val="34"/>
    <w:qFormat w:val="1"/>
    <w:rsid w:val="00D75F61"/>
    <w:pPr>
      <w:ind w:left="720"/>
      <w:contextualSpacing w:val="1"/>
    </w:pPr>
  </w:style>
  <w:style w:type="character" w:styleId="Hyperlink">
    <w:name w:val="Hyperlink"/>
    <w:basedOn w:val="DefaultParagraphFont"/>
    <w:uiPriority w:val="99"/>
    <w:semiHidden w:val="1"/>
    <w:unhideWhenUsed w:val="1"/>
    <w:rsid w:val="000E6EA5"/>
    <w:rPr>
      <w:color w:val="0000ff"/>
      <w:u w:val="single"/>
    </w:rPr>
  </w:style>
  <w:style w:type="paragraph" w:styleId="NormalWeb">
    <w:name w:val="Normal (Web)"/>
    <w:basedOn w:val="Normal"/>
    <w:uiPriority w:val="99"/>
    <w:semiHidden w:val="1"/>
    <w:unhideWhenUsed w:val="1"/>
    <w:rsid w:val="004B0A2B"/>
    <w:pPr>
      <w:spacing w:after="100" w:afterAutospacing="1" w:before="100" w:beforeAutospacing="1"/>
    </w:pPr>
    <w:rPr>
      <w:rFonts w:ascii="Times New Roman" w:cs="Times New Roman" w:eastAsia="Times New Roman" w:hAnsi="Times New Roman"/>
      <w:color w:val="auto"/>
      <w:sz w:val="24"/>
      <w:szCs w:val="24"/>
      <w:lang w:eastAsia="en-NZ" w:val="en-NZ"/>
    </w:rPr>
  </w:style>
  <w:style w:type="paragraph" w:styleId="FFText" w:customStyle="1">
    <w:name w:val="FF Text"/>
    <w:basedOn w:val="Normal"/>
    <w:qFormat w:val="1"/>
    <w:rsid w:val="00F6057F"/>
    <w:pPr>
      <w:tabs>
        <w:tab w:val="left" w:pos="260"/>
        <w:tab w:val="left" w:pos="520"/>
        <w:tab w:val="left" w:pos="780"/>
        <w:tab w:val="left" w:pos="1040"/>
        <w:tab w:val="left" w:pos="1300"/>
        <w:tab w:val="left" w:pos="1560"/>
        <w:tab w:val="left" w:pos="1820"/>
        <w:tab w:val="left" w:pos="2080"/>
        <w:tab w:val="left" w:pos="2340"/>
        <w:tab w:val="left" w:pos="2600"/>
        <w:tab w:val="left" w:pos="2860"/>
        <w:tab w:val="left" w:pos="3120"/>
        <w:tab w:val="left" w:pos="3380"/>
        <w:tab w:val="left" w:pos="3640"/>
        <w:tab w:val="left" w:pos="3900"/>
        <w:tab w:val="left" w:pos="4160"/>
        <w:tab w:val="left" w:pos="4420"/>
        <w:tab w:val="left" w:pos="4680"/>
        <w:tab w:val="left" w:pos="4940"/>
        <w:tab w:val="left" w:pos="5200"/>
        <w:tab w:val="left" w:pos="5460"/>
        <w:tab w:val="left" w:pos="5720"/>
        <w:tab w:val="left" w:pos="5980"/>
        <w:tab w:val="left" w:pos="6240"/>
        <w:tab w:val="left" w:pos="6500"/>
        <w:tab w:val="left" w:pos="6760"/>
        <w:tab w:val="left" w:pos="7020"/>
        <w:tab w:val="left" w:pos="7280"/>
        <w:tab w:val="left" w:pos="7540"/>
        <w:tab w:val="left" w:pos="7800"/>
        <w:tab w:val="left" w:pos="8060"/>
        <w:tab w:val="left" w:pos="8320"/>
        <w:tab w:val="left" w:pos="8580"/>
        <w:tab w:val="left" w:pos="8840"/>
        <w:tab w:val="left" w:pos="9100"/>
        <w:tab w:val="left" w:pos="9360"/>
        <w:tab w:val="left" w:pos="9620"/>
        <w:tab w:val="left" w:pos="9880"/>
      </w:tabs>
      <w:suppressAutoHyphens w:val="1"/>
      <w:autoSpaceDE w:val="0"/>
      <w:autoSpaceDN w:val="0"/>
      <w:adjustRightInd w:val="0"/>
      <w:spacing w:after="113" w:before="0" w:line="260" w:lineRule="atLeast"/>
      <w:textAlignment w:val="center"/>
    </w:pPr>
    <w:rPr>
      <w:rFonts w:eastAsia="Abadi MT Pro Light"/>
      <w:color w:val="auto"/>
      <w:lang w:eastAsia="en-NZ" w:val="en-GB"/>
    </w:rPr>
  </w:style>
  <w:style w:type="character" w:styleId="FollowedHyperlink">
    <w:name w:val="FollowedHyperlink"/>
    <w:basedOn w:val="DefaultParagraphFont"/>
    <w:uiPriority w:val="99"/>
    <w:semiHidden w:val="1"/>
    <w:unhideWhenUsed w:val="1"/>
    <w:rsid w:val="004A6883"/>
    <w:rPr>
      <w:color w:val="800080" w:themeColor="followedHyperlink"/>
      <w:u w:val="single"/>
    </w:rPr>
  </w:style>
  <w:style w:type="table" w:styleId="a" w:customStyle="1">
    <w:basedOn w:val="TableNormal"/>
    <w:rPr>
      <w:rFonts w:ascii="Calibri" w:cs="Calibri" w:eastAsia="Calibri" w:hAnsi="Calibri"/>
      <w:color w:val="000000"/>
      <w:sz w:val="30"/>
      <w:szCs w:val="30"/>
    </w:rPr>
    <w:tblPr>
      <w:tblStyleRowBandSize w:val="1"/>
      <w:tblStyleColBandSize w:val="1"/>
      <w:tblCellMar>
        <w:left w:w="115.0" w:type="dxa"/>
        <w:right w:w="115.0" w:type="dxa"/>
      </w:tblCellMar>
    </w:tblPr>
    <w:tcPr>
      <w:shd w:color="auto" w:fill="ffffff"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table" w:styleId="a0" w:customStyle="1">
    <w:basedOn w:val="TableNormal"/>
    <w:rPr>
      <w:rFonts w:ascii="Calibri" w:cs="Calibri" w:eastAsia="Calibri" w:hAnsi="Calibri"/>
      <w:color w:val="000000"/>
      <w:sz w:val="30"/>
      <w:szCs w:val="30"/>
    </w:rPr>
    <w:tblPr>
      <w:tblStyleRowBandSize w:val="1"/>
      <w:tblStyleColBandSize w:val="1"/>
      <w:tblCellMar>
        <w:left w:w="115.0" w:type="dxa"/>
        <w:right w:w="115.0" w:type="dxa"/>
      </w:tblCellMar>
    </w:tblPr>
    <w:tcPr>
      <w:shd w:color="auto" w:fill="ffffff" w:val="clear"/>
    </w:tcPr>
    <w:tblStylePr w:type="firstRow">
      <w:rPr>
        <w:b w:val="1"/>
      </w:rPr>
      <w:tblPr/>
      <w:tcPr>
        <w:tcBorders>
          <w:bottom w:color="7f7f7f" w:space="0" w:sz="4" w:val="single"/>
        </w:tcBorders>
      </w:tcPr>
    </w:tblStylePr>
    <w:tblStylePr w:type="lastRow">
      <w:rPr>
        <w:b w:val="1"/>
      </w:rPr>
      <w:tblPr/>
      <w:tcPr>
        <w:tcBorders>
          <w:top w:color="7f7f7f" w:space="0" w:sz="4" w:val="single"/>
        </w:tcBorders>
      </w:tcPr>
    </w:tblStylePr>
    <w:tblStylePr w:type="firstCol">
      <w:rPr>
        <w:b w:val="1"/>
      </w:rPr>
    </w:tblStylePr>
    <w:tblStylePr w:type="lastCol">
      <w:rPr>
        <w:b w:val="1"/>
      </w:rPr>
    </w:tblStylePr>
    <w:tblStylePr w:type="band1Vert">
      <w:tblPr/>
      <w:tcPr>
        <w:tcBorders>
          <w:left w:color="7f7f7f" w:space="0" w:sz="4" w:val="single"/>
          <w:right w:color="7f7f7f" w:space="0" w:sz="4" w:val="single"/>
        </w:tcBorders>
      </w:tcPr>
    </w:tblStylePr>
    <w:tblStylePr w:type="band2Vert">
      <w:tblPr/>
      <w:tcPr>
        <w:tcBorders>
          <w:left w:color="7f7f7f" w:space="0" w:sz="4" w:val="single"/>
          <w:right w:color="7f7f7f" w:space="0" w:sz="4" w:val="single"/>
        </w:tcBorders>
      </w:tcPr>
    </w:tblStylePr>
    <w:tblStylePr w:type="band1Horz">
      <w:tblPr/>
      <w:tcPr>
        <w:tcBorders>
          <w:top w:color="7f7f7f" w:space="0" w:sz="4" w:val="single"/>
          <w:bottom w:color="7f7f7f" w:space="0" w:sz="4" w:val="single"/>
        </w:tcBorders>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color w:val="000000"/>
      <w:sz w:val="30"/>
      <w:szCs w:val="30"/>
    </w:rPr>
    <w:tblPr>
      <w:tblStyleRowBandSize w:val="1"/>
      <w:tblStyleColBandSize w:val="1"/>
      <w:tblCellMar>
        <w:top w:w="0.0" w:type="dxa"/>
        <w:left w:w="115.0" w:type="dxa"/>
        <w:bottom w:w="0.0" w:type="dxa"/>
        <w:right w:w="115.0" w:type="dxa"/>
      </w:tblCellMar>
    </w:tblPr>
    <w:tcPr>
      <w:shd w:fill="ffffff" w:val="clear"/>
    </w:tcPr>
    <w:tblStylePr w:type="band1Horz">
      <w:tcPr>
        <w:tcBorders>
          <w:top w:color="7f7f7f" w:space="0" w:sz="4" w:val="single"/>
          <w:bottom w:color="7f7f7f" w:space="0" w:sz="4" w:val="single"/>
        </w:tcBorders>
      </w:tcPr>
    </w:tblStylePr>
    <w:tblStylePr w:type="band1Vert">
      <w:tcPr>
        <w:tcBorders>
          <w:left w:color="7f7f7f" w:space="0" w:sz="4" w:val="single"/>
          <w:right w:color="7f7f7f" w:space="0" w:sz="4" w:val="single"/>
        </w:tcBorders>
      </w:tcPr>
    </w:tblStylePr>
    <w:tblStylePr w:type="band2Vert">
      <w:tcPr>
        <w:tcBorders>
          <w:left w:color="7f7f7f" w:space="0" w:sz="4" w:val="single"/>
          <w:right w:color="7f7f7f" w:space="0" w:sz="4" w:val="single"/>
        </w:tcBorders>
      </w:tcPr>
    </w:tblStylePr>
    <w:tblStylePr w:type="firstCol">
      <w:rPr>
        <w:b w:val="1"/>
      </w:rPr>
    </w:tblStylePr>
    <w:tblStylePr w:type="firstRow">
      <w:rPr>
        <w:b w:val="1"/>
      </w:rPr>
      <w:tcPr>
        <w:tcBorders>
          <w:bottom w:color="7f7f7f" w:space="0" w:sz="4" w:val="single"/>
        </w:tcBorders>
      </w:tcPr>
    </w:tblStylePr>
    <w:tblStylePr w:type="lastCol">
      <w:rPr>
        <w:b w:val="1"/>
      </w:rPr>
    </w:tblStylePr>
    <w:tblStylePr w:type="lastRow">
      <w:rPr>
        <w:b w:val="1"/>
      </w:rPr>
      <w:tcPr>
        <w:tcBorders>
          <w:top w:color="7f7f7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energy-uk.org.uk/wp-content/uploads/2023/03/EnergyUK_ConnectingYourFleetGuideforBusinesses_GreaterLdn_October2020.pdf" TargetMode="External"/><Relationship Id="rId12" Type="http://schemas.openxmlformats.org/officeDocument/2006/relationships/footer" Target="footer1.xml"/><Relationship Id="rId9" Type="http://schemas.openxmlformats.org/officeDocument/2006/relationships/hyperlink" Target="https://www.ukri.org/wp-content/uploads/2023/05/IUK-24052023-InnovateUK_Ofgem_SIF_Brief_Guide_24May2023.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FPSRwf9diC73WPiHHKACv9AUnw==">CgMxLjA4AHIhMUlTYURaUWJCZXpySnZNckNpcDJWcjhKRHZaaFhqNUNn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2024-05-15T22:07:00Z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lked a bunch">
    <vt:lpwstr>talked a bunch</vt:lpwstr>
  </property>
</Properties>
</file>