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0" distT="0" distL="0" distR="0">
            <wp:extent cx="6645910" cy="828675"/>
            <wp:effectExtent b="0" l="0" r="0" t="0"/>
            <wp:docPr descr="Logo, company name&#10;&#10;Description automatically generated" id="6"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39613" l="0" r="0" t="38220"/>
                    <a:stretch>
                      <a:fillRect/>
                    </a:stretch>
                  </pic:blipFill>
                  <pic:spPr>
                    <a:xfrm>
                      <a:off x="0" y="0"/>
                      <a:ext cx="664591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242" w:lineRule="auto"/>
        <w:ind w:left="0" w:right="0" w:firstLine="0"/>
        <w:jc w:val="left"/>
        <w:rPr>
          <w:rFonts w:ascii="Abadi MT Pro" w:cs="Abadi MT Pro" w:eastAsia="Abadi MT Pro" w:hAnsi="Abadi MT Pro"/>
          <w:b w:val="0"/>
          <w:i w:val="0"/>
          <w:smallCaps w:val="0"/>
          <w:strike w:val="0"/>
          <w:color w:val="002387"/>
          <w:sz w:val="48"/>
          <w:szCs w:val="48"/>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48"/>
          <w:szCs w:val="48"/>
          <w:u w:val="none"/>
          <w:shd w:fill="auto" w:val="clear"/>
          <w:vertAlign w:val="baseline"/>
          <w:rtl w:val="0"/>
        </w:rPr>
        <w:t xml:space="preserve">Steering Group meeting</w:t>
      </w:r>
    </w:p>
    <w:p w:rsidR="00000000" w:rsidDel="00000000" w:rsidP="00000000" w:rsidRDefault="00000000" w:rsidRPr="00000000" w14:paraId="00000005">
      <w:pPr>
        <w:rPr/>
      </w:pPr>
      <w:r w:rsidDel="00000000" w:rsidR="00000000" w:rsidRPr="00000000">
        <w:rPr>
          <w:rtl w:val="0"/>
        </w:rPr>
      </w:r>
    </w:p>
    <w:tbl>
      <w:tblPr>
        <w:tblStyle w:val="Table1"/>
        <w:tblW w:w="9915.0"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1410"/>
        <w:gridCol w:w="8505"/>
        <w:tblGridChange w:id="0">
          <w:tblGrid>
            <w:gridCol w:w="1410"/>
            <w:gridCol w:w="8505"/>
          </w:tblGrid>
        </w:tblGridChange>
      </w:tblGrid>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badi" w:cs="Abadi" w:eastAsia="Abadi" w:hAnsi="Abadi"/>
                <w:sz w:val="20"/>
                <w:szCs w:val="20"/>
              </w:rPr>
            </w:pPr>
            <w:r w:rsidDel="00000000" w:rsidR="00000000" w:rsidRPr="00000000">
              <w:rPr>
                <w:rFonts w:ascii="Abadi" w:cs="Abadi" w:eastAsia="Abadi" w:hAnsi="Abadi"/>
                <w:sz w:val="20"/>
                <w:szCs w:val="20"/>
                <w:rtl w:val="0"/>
              </w:rPr>
              <w:t xml:space="preserve">When</w:t>
            </w:r>
          </w:p>
        </w:tc>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badi" w:cs="Abadi" w:eastAsia="Abadi" w:hAnsi="Abadi"/>
                <w:sz w:val="20"/>
                <w:szCs w:val="20"/>
              </w:rPr>
            </w:pPr>
            <w:r w:rsidDel="00000000" w:rsidR="00000000" w:rsidRPr="00000000">
              <w:rPr>
                <w:rFonts w:ascii="Abadi" w:cs="Abadi" w:eastAsia="Abadi" w:hAnsi="Abadi"/>
                <w:sz w:val="20"/>
                <w:szCs w:val="20"/>
                <w:rtl w:val="0"/>
              </w:rPr>
              <w:t xml:space="preserve">Thursday 7 March 2024, 0930-1200</w:t>
            </w:r>
          </w:p>
        </w:tc>
      </w:tr>
      <w:tr>
        <w:trPr>
          <w:cantSplit w:val="0"/>
          <w:tblHeader w:val="0"/>
        </w:trPr>
        <w:tc>
          <w:tcPr>
            <w:vAlign w:val="center"/>
          </w:tcPr>
          <w:p w:rsidR="00000000" w:rsidDel="00000000" w:rsidP="00000000" w:rsidRDefault="00000000" w:rsidRPr="00000000" w14:paraId="00000008">
            <w:pPr>
              <w:rPr>
                <w:sz w:val="24"/>
                <w:szCs w:val="24"/>
              </w:rPr>
            </w:pPr>
            <w:r w:rsidDel="00000000" w:rsidR="00000000" w:rsidRPr="00000000">
              <w:rPr>
                <w:sz w:val="24"/>
                <w:szCs w:val="24"/>
                <w:rtl w:val="0"/>
              </w:rPr>
              <w:t xml:space="preserve">Where</w:t>
            </w:r>
          </w:p>
        </w:tc>
        <w:tc>
          <w:tcP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badi" w:cs="Abadi" w:eastAsia="Abadi" w:hAnsi="Abad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Virtual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A">
            <w:pPr>
              <w:rPr>
                <w:sz w:val="24"/>
                <w:szCs w:val="24"/>
              </w:rPr>
            </w:pPr>
            <w:r w:rsidDel="00000000" w:rsidR="00000000" w:rsidRPr="00000000">
              <w:rPr>
                <w:sz w:val="24"/>
                <w:szCs w:val="24"/>
                <w:rtl w:val="0"/>
              </w:rPr>
              <w:t xml:space="preserve">Who</w:t>
            </w:r>
          </w:p>
        </w:tc>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badi" w:cs="Abadi" w:eastAsia="Abadi" w:hAnsi="Abadi"/>
                <w:sz w:val="20"/>
                <w:szCs w:val="20"/>
              </w:rPr>
            </w:pPr>
            <w:r w:rsidDel="00000000" w:rsidR="00000000" w:rsidRPr="00000000">
              <w:rPr>
                <w:rFonts w:ascii="Abadi" w:cs="Abadi" w:eastAsia="Abadi" w:hAnsi="Abadi"/>
                <w:sz w:val="20"/>
                <w:szCs w:val="20"/>
                <w:rtl w:val="0"/>
              </w:rPr>
              <w:t xml:space="preserve">Steve Batstone, Shay Brazier [after 1030], John Campbell, Terry Paddy, Matt Smith, Evie Trolove, Fiona Wiseman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badi" w:cs="Abadi" w:eastAsia="Abadi" w:hAnsi="Abadi"/>
                <w:sz w:val="20"/>
                <w:szCs w:val="20"/>
              </w:rPr>
            </w:pPr>
            <w:r w:rsidDel="00000000" w:rsidR="00000000" w:rsidRPr="00000000">
              <w:rPr>
                <w:rFonts w:ascii="Abadi" w:cs="Abadi" w:eastAsia="Abadi" w:hAnsi="Abadi"/>
                <w:sz w:val="20"/>
                <w:szCs w:val="20"/>
                <w:rtl w:val="0"/>
              </w:rPr>
              <w:t xml:space="preserve">Secretariat: Craig Evans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badi" w:cs="Abadi" w:eastAsia="Abadi" w:hAnsi="Abadi"/>
                <w:sz w:val="20"/>
                <w:szCs w:val="20"/>
              </w:rPr>
            </w:pPr>
            <w:r w:rsidDel="00000000" w:rsidR="00000000" w:rsidRPr="00000000">
              <w:rPr>
                <w:rFonts w:ascii="Abadi" w:cs="Abadi" w:eastAsia="Abadi" w:hAnsi="Abadi"/>
                <w:sz w:val="20"/>
                <w:szCs w:val="20"/>
                <w:rtl w:val="0"/>
              </w:rPr>
              <w:t xml:space="preserve">Observers: Mark Herring (EA), Peter Bartlett (MBIE), Briony Bennett (Ara Ake) Cristiano Marantes (Ara Ake), Sean McCready (CC)</w:t>
            </w:r>
          </w:p>
        </w:tc>
      </w:tr>
      <w:tr>
        <w:trPr>
          <w:cantSplit w:val="0"/>
          <w:tblHeader w:val="0"/>
        </w:trPr>
        <w:tc>
          <w:tcPr>
            <w:vAlign w:val="center"/>
          </w:tcPr>
          <w:p w:rsidR="00000000" w:rsidDel="00000000" w:rsidP="00000000" w:rsidRDefault="00000000" w:rsidRPr="00000000" w14:paraId="0000000E">
            <w:pPr>
              <w:rPr>
                <w:sz w:val="24"/>
                <w:szCs w:val="24"/>
              </w:rPr>
            </w:pPr>
            <w:r w:rsidDel="00000000" w:rsidR="00000000" w:rsidRPr="00000000">
              <w:rPr>
                <w:sz w:val="24"/>
                <w:szCs w:val="24"/>
                <w:rtl w:val="0"/>
              </w:rPr>
              <w:t xml:space="preserve">Apologies</w:t>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badi" w:cs="Abadi" w:eastAsia="Abadi" w:hAnsi="Abadi"/>
                <w:b w:val="0"/>
                <w:i w:val="0"/>
                <w:smallCaps w:val="0"/>
                <w:strike w:val="0"/>
                <w:color w:val="000000"/>
                <w:sz w:val="20"/>
                <w:szCs w:val="20"/>
                <w:u w:val="none"/>
                <w:shd w:fill="auto" w:val="clear"/>
                <w:vertAlign w:val="baseline"/>
              </w:rPr>
            </w:pPr>
            <w:r w:rsidDel="00000000" w:rsidR="00000000" w:rsidRPr="00000000">
              <w:rPr>
                <w:rFonts w:ascii="Abadi" w:cs="Abadi" w:eastAsia="Abadi" w:hAnsi="Abadi"/>
                <w:sz w:val="20"/>
                <w:szCs w:val="20"/>
                <w:rtl w:val="0"/>
              </w:rPr>
              <w:t xml:space="preserve">Ryan Kuggeleign, Brian FitzGerald (EECA)</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242" w:lineRule="auto"/>
        <w:ind w:left="0" w:right="0" w:firstLine="0"/>
        <w:jc w:val="left"/>
        <w:rPr>
          <w:rFonts w:ascii="Abadi MT Pro" w:cs="Abadi MT Pro" w:eastAsia="Abadi MT Pro" w:hAnsi="Abadi MT Pro"/>
          <w:b w:val="0"/>
          <w:i w:val="0"/>
          <w:smallCaps w:val="0"/>
          <w:strike w:val="0"/>
          <w:color w:val="002387"/>
          <w:sz w:val="40"/>
          <w:szCs w:val="40"/>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40"/>
          <w:szCs w:val="40"/>
          <w:u w:val="none"/>
          <w:shd w:fill="auto" w:val="clear"/>
          <w:vertAlign w:val="baseline"/>
          <w:rtl w:val="0"/>
        </w:rPr>
        <w:t xml:space="preserve">Session notes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1: Welcome</w:t>
      </w:r>
    </w:p>
    <w:p w:rsidR="00000000" w:rsidDel="00000000" w:rsidP="00000000" w:rsidRDefault="00000000" w:rsidRPr="00000000" w14:paraId="00000012">
      <w:pPr>
        <w:spacing w:after="60" w:before="60" w:line="240" w:lineRule="auto"/>
        <w:rPr/>
      </w:pPr>
      <w:r w:rsidDel="00000000" w:rsidR="00000000" w:rsidRPr="00000000">
        <w:rPr>
          <w:rFonts w:ascii="Franklin Gothic" w:cs="Franklin Gothic" w:eastAsia="Franklin Gothic" w:hAnsi="Franklin Gothic"/>
          <w:rtl w:val="0"/>
        </w:rPr>
        <w:t xml:space="preserve">The Chair </w:t>
      </w:r>
      <w:r w:rsidDel="00000000" w:rsidR="00000000" w:rsidRPr="00000000">
        <w:rPr>
          <w:rtl w:val="0"/>
        </w:rPr>
        <w:t xml:space="preserve">welcomed everyone to  the session. </w:t>
      </w:r>
      <w:r w:rsidDel="00000000" w:rsidR="00000000" w:rsidRPr="00000000">
        <w:rPr>
          <w:rFonts w:ascii="Franklin Gothic" w:cs="Franklin Gothic" w:eastAsia="Franklin Gothic" w:hAnsi="Franklin Gothic"/>
          <w:rtl w:val="0"/>
        </w:rPr>
        <w:t xml:space="preserve"> </w:t>
      </w:r>
      <w:r w:rsidDel="00000000" w:rsidR="00000000" w:rsidRPr="00000000">
        <w:rPr>
          <w:rtl w:val="0"/>
        </w:rPr>
      </w:r>
    </w:p>
    <w:p w:rsidR="00000000" w:rsidDel="00000000" w:rsidP="00000000" w:rsidRDefault="00000000" w:rsidRPr="00000000" w14:paraId="00000013">
      <w:pPr>
        <w:spacing w:after="60" w:before="60" w:line="240" w:lineRule="auto"/>
        <w:rPr>
          <w:rFonts w:ascii="Franklin Gothic" w:cs="Franklin Gothic" w:eastAsia="Franklin Gothic" w:hAnsi="Franklin Gothic"/>
        </w:rPr>
      </w:pPr>
      <w:r w:rsidDel="00000000" w:rsidR="00000000" w:rsidRPr="00000000">
        <w:rPr>
          <w:rtl w:val="0"/>
        </w:rPr>
        <w:t xml:space="preserve">The </w:t>
      </w:r>
      <w:r w:rsidDel="00000000" w:rsidR="00000000" w:rsidRPr="00000000">
        <w:rPr>
          <w:rFonts w:ascii="Franklin Gothic" w:cs="Franklin Gothic" w:eastAsia="Franklin Gothic" w:hAnsi="Franklin Gothic"/>
          <w:rtl w:val="0"/>
        </w:rPr>
        <w:t xml:space="preserve">SG: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confirmed there was a quorum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noted their individual obligations relating to the Commerce Act 1986 prohibiting anti-competitive conduct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tl w:val="0"/>
        </w:rPr>
        <w:t xml:space="preserve">noted the reminder to review and update interests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tl w:val="0"/>
        </w:rPr>
        <w:t xml:space="preserve">noted apologies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confirmed the agenda, including </w:t>
      </w:r>
      <w:r w:rsidDel="00000000" w:rsidR="00000000" w:rsidRPr="00000000">
        <w:rPr>
          <w:rtl w:val="0"/>
        </w:rPr>
        <w:t xml:space="preserve">discussion of </w:t>
      </w:r>
      <w:r w:rsidDel="00000000" w:rsidR="00000000" w:rsidRPr="00000000">
        <w:rPr>
          <w:rFonts w:ascii="Franklin Gothic" w:cs="Franklin Gothic" w:eastAsia="Franklin Gothic" w:hAnsi="Franklin Gothic"/>
          <w:rtl w:val="0"/>
        </w:rPr>
        <w:t xml:space="preserve">other business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850.3937007874016" w:right="0" w:hanging="425.19685039370074"/>
        <w:jc w:val="left"/>
        <w:rPr>
          <w:u w:val="none"/>
        </w:rPr>
      </w:pPr>
      <w:r w:rsidDel="00000000" w:rsidR="00000000" w:rsidRPr="00000000">
        <w:rPr>
          <w:rtl w:val="0"/>
        </w:rPr>
        <w:t xml:space="preserve">membership communication</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850.3937007874016" w:right="0" w:hanging="425.19685039370074"/>
        <w:jc w:val="left"/>
        <w:rPr>
          <w:u w:val="none"/>
        </w:rPr>
      </w:pPr>
      <w:r w:rsidDel="00000000" w:rsidR="00000000" w:rsidRPr="00000000">
        <w:rPr>
          <w:rtl w:val="0"/>
        </w:rPr>
        <w:t xml:space="preserve">update on processes and systems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850.3937007874016" w:right="0" w:hanging="425.19685039370074"/>
        <w:jc w:val="left"/>
        <w:rPr>
          <w:u w:val="none"/>
        </w:rPr>
      </w:pPr>
      <w:r w:rsidDel="00000000" w:rsidR="00000000" w:rsidRPr="00000000">
        <w:rPr>
          <w:rtl w:val="0"/>
        </w:rPr>
        <w:t xml:space="preserve">timing of further discussion of organisation key outcomes and results measures.</w:t>
      </w: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color w:val="002387"/>
          <w:sz w:val="28"/>
          <w:szCs w:val="28"/>
          <w:rtl w:val="0"/>
        </w:rPr>
        <w:t xml:space="preserve">Strategic items</w:t>
      </w: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 </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2: Workplan story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t xml:space="preserve">The SG discussed the meta outputs of the 2024 workplan and what we want people to know, feel and do when describing the workplan.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tl w:val="0"/>
        </w:rPr>
        <w:t xml:space="preserve">the workplan includes both workstream tasks and broader FlexForum tasks, eg, updating the Flexibility Plan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tl w:val="0"/>
        </w:rPr>
        <w:t xml:space="preserve">we are building our understanding of related work, eg, by the Future Networks Forum, EECA and the EA. Building a complete picture is difficult for a range of reasons. From an outsiders perspective, it may look like duplication of activity. Sharing of detailed information outlining the start, middle and end of a process/and state of thinking will improve coordination. The SG noted that transparency of activity and thinking will save everyone time, effort and costs.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tl w:val="0"/>
        </w:rPr>
        <w:t xml:space="preserve">a discussion between FF stream conveners and FNF stream leads is being planned to delve into the details of respective activities and timeframes to identify opportunities for effective alignment.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tl w:val="0"/>
        </w:rPr>
        <w:t xml:space="preserve">FF will continue to encourage transparency of activity and thinking and will walk this talk by publishing workplan and workstream materials (via the Knowledge Hub, once it is established).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420"/>
        <w:jc w:val="left"/>
        <w:rPr>
          <w:rFonts w:ascii="Franklin Gothic" w:cs="Franklin Gothic" w:eastAsia="Franklin Gothic" w:hAnsi="Franklin Gothic"/>
        </w:rPr>
      </w:pPr>
      <w:r w:rsidDel="00000000" w:rsidR="00000000" w:rsidRPr="00000000">
        <w:rPr>
          <w:rtl w:val="0"/>
        </w:rPr>
        <w:t xml:space="preserve">the SG agreed the workplan story effectively represented intention of the workplan and aligns with the FlexForum objective and purpose, while noting the story would evolve over time.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850.3937007874016" w:right="0" w:hanging="425.19685039370074"/>
        <w:jc w:val="left"/>
        <w:rPr>
          <w:rFonts w:ascii="Franklin Gothic" w:cs="Franklin Gothic" w:eastAsia="Franklin Gothic" w:hAnsi="Franklin Gothic"/>
        </w:rPr>
      </w:pPr>
      <w:r w:rsidDel="00000000" w:rsidR="00000000" w:rsidRPr="00000000">
        <w:rPr>
          <w:rtl w:val="0"/>
        </w:rPr>
        <w:t xml:space="preserve">the immediate audience is Members and the electricity ecosystem, particularly decision-makers. The workplan will produce content which can be shared with households, businesses and communities.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the workplan (and a key message for the story) will help to articulate what is a consumer-centric market and system which can become the reference point for decision-makers across the electricity ecosystem when they are making decisions about upgrading regulatory settings. There is real value for decision-makers in having practical exemplars of household/business/community energy (and flexibility) outcomes.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850.3937007874016" w:right="0" w:hanging="425.19685039370074"/>
        <w:jc w:val="left"/>
        <w:rPr>
          <w:rFonts w:ascii="Franklin Gothic" w:cs="Franklin Gothic" w:eastAsia="Franklin Gothic" w:hAnsi="Franklin Gothic"/>
        </w:rPr>
      </w:pPr>
      <w:r w:rsidDel="00000000" w:rsidR="00000000" w:rsidRPr="00000000">
        <w:rPr>
          <w:rtl w:val="0"/>
        </w:rPr>
        <w:t xml:space="preserve">recognising that the exemplars will be reference points, not commitments, and the future state is many cases is some time off</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850.3937007874016" w:right="0" w:hanging="425.19685039370074"/>
        <w:jc w:val="left"/>
        <w:rPr>
          <w:rFonts w:ascii="Franklin Gothic" w:cs="Franklin Gothic" w:eastAsia="Franklin Gothic" w:hAnsi="Franklin Gothic"/>
        </w:rPr>
      </w:pPr>
      <w:r w:rsidDel="00000000" w:rsidR="00000000" w:rsidRPr="00000000">
        <w:rPr>
          <w:rtl w:val="0"/>
        </w:rPr>
        <w:t xml:space="preserve">the exemplars will provide a framework to consider the implications of more detailed customer segmentation exercises, eg, being undertaken by the FNF, and to consider implications for energy equity and justice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850.3937007874016" w:right="0" w:hanging="425.19685039370074"/>
        <w:jc w:val="left"/>
        <w:rPr>
          <w:u w:val="none"/>
        </w:rPr>
      </w:pPr>
      <w:r w:rsidDel="00000000" w:rsidR="00000000" w:rsidRPr="00000000">
        <w:rPr>
          <w:rtl w:val="0"/>
        </w:rPr>
        <w:t xml:space="preserve">having practically based exemplars will enable reality testing of the outcomes that are plausible for different people in different places, ie, they enable FF to validate and tell a coherent story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the workplan outputs appear to align with regulatory expectations that industry players are acting and investing based on what people want. The existing regulatory framework for network operators drives a network-centric approach that does not capture impacts/benefits across the ecosystem. Given this there is a strong value proposition of having a whole of system view of outcomes and underlying market/system arrangements from the plug/to the plug. </w:t>
      </w: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pPr>
      <w:r w:rsidDel="00000000" w:rsidR="00000000" w:rsidRPr="00000000">
        <w:rPr>
          <w:rFonts w:ascii="Abadi MT Pro" w:cs="Abadi MT Pro" w:eastAsia="Abadi MT Pro" w:hAnsi="Abadi MT Pro"/>
          <w:color w:val="002387"/>
          <w:sz w:val="28"/>
          <w:szCs w:val="28"/>
          <w:rtl w:val="0"/>
        </w:rPr>
        <w:t xml:space="preserve">3: Workstream participation</w:t>
      </w: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t xml:space="preserve">The SG discussed ways to achieve productive and effective workstream participation, noting that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what we produce is only as good as the expert input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but does require commitment as delivering the workplan tasks will involve 2-3 workshops a month from March to July, plus targeted check in sessions with key experts.</w:t>
      </w:r>
      <w:r w:rsidDel="00000000" w:rsidR="00000000" w:rsidRPr="00000000">
        <w:rPr>
          <w:rtl w:val="0"/>
        </w:rPr>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t xml:space="preserve">As an initial step, a FlexForum session is being arranged for late March. It will have 2 parts: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for Members: to update Members on the workplan and the importance of Member participation</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for all comers: to describe and discuss the workplan outputs and how these fit into the bigger picture (ie, the workplan story).</w:t>
      </w:r>
      <w:r w:rsidDel="00000000" w:rsidR="00000000" w:rsidRPr="00000000">
        <w:rPr>
          <w:rtl w:val="0"/>
        </w:rPr>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t xml:space="preserve">The SG suggested the session (and generally) be used to provide existing and new Members an opportunity to check in on ways of working, participation options etc.</w:t>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pPr>
      <w:r w:rsidDel="00000000" w:rsidR="00000000" w:rsidRPr="00000000">
        <w:rPr>
          <w:rFonts w:ascii="Abadi MT Pro" w:cs="Abadi MT Pro" w:eastAsia="Abadi MT Pro" w:hAnsi="Abadi MT Pro"/>
          <w:color w:val="002387"/>
          <w:sz w:val="28"/>
          <w:szCs w:val="28"/>
          <w:rtl w:val="0"/>
        </w:rPr>
        <w:t xml:space="preserve">Standing items</w:t>
      </w:r>
      <w:r w:rsidDel="00000000" w:rsidR="00000000" w:rsidRPr="00000000">
        <w:rPr>
          <w:rtl w:val="0"/>
        </w:rPr>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pPr>
      <w:r w:rsidDel="00000000" w:rsidR="00000000" w:rsidRPr="00000000">
        <w:rPr>
          <w:rFonts w:ascii="Abadi MT Pro" w:cs="Abadi MT Pro" w:eastAsia="Abadi MT Pro" w:hAnsi="Abadi MT Pro"/>
          <w:color w:val="002387"/>
          <w:sz w:val="28"/>
          <w:szCs w:val="28"/>
          <w:rtl w:val="0"/>
        </w:rPr>
        <w:t xml:space="preserve">4: Engagement update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t xml:space="preserve">The SG noted the completed and planned engagement activity.</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FlexForum has communicated to the Electricity Sector Framework its basis of engagement/participation. A new version of the Framework document is expected in the coming weeks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the session with Simeon Brown was positive. Based on the discussion, a follow-up session will be requested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Downstream attendance enabled positive interactions with Electricity Authority staff/members, existing FlexForum Members, and potential Members</w:t>
      </w:r>
    </w:p>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5: Workplan update</w:t>
      </w:r>
    </w:p>
    <w:p w:rsidR="00000000" w:rsidDel="00000000" w:rsidP="00000000" w:rsidRDefault="00000000" w:rsidRPr="00000000" w14:paraId="00000039">
      <w:pP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rPr/>
      </w:pPr>
      <w:r w:rsidDel="00000000" w:rsidR="00000000" w:rsidRPr="00000000">
        <w:rPr>
          <w:rtl w:val="0"/>
        </w:rPr>
        <w:t xml:space="preserve">The SG noted the workplan update and agreed the 2024 workplan should begin to be delivered based on the proposed programme and delivery schedule.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the workplan tasks align with the FlexForum objective and purpose and the Flexibility Plan</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each task is on the FlexForum workplan and the extra task requested by EECA meets a specific FlexForum purpose to provide advice to regulators. The addition of the EECA task will be included in an update to Members about the workplan and delivery schedule</w:t>
      </w:r>
      <w:r w:rsidDel="00000000" w:rsidR="00000000" w:rsidRPr="00000000">
        <w:rPr>
          <w:rtl w:val="0"/>
        </w:rPr>
      </w:r>
    </w:p>
    <w:p w:rsidR="00000000" w:rsidDel="00000000" w:rsidP="00000000" w:rsidRDefault="00000000" w:rsidRPr="00000000" w14:paraId="0000003C">
      <w:pPr>
        <w:numPr>
          <w:ilvl w:val="0"/>
          <w:numId w:val="1"/>
        </w:numP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ind w:left="360" w:hanging="360"/>
        <w:rPr>
          <w:rFonts w:ascii="Franklin Gothic" w:cs="Franklin Gothic" w:eastAsia="Franklin Gothic" w:hAnsi="Franklin Gothic"/>
        </w:rPr>
      </w:pPr>
      <w:r w:rsidDel="00000000" w:rsidR="00000000" w:rsidRPr="00000000">
        <w:rPr>
          <w:rtl w:val="0"/>
        </w:rPr>
        <w:t xml:space="preserve">workstreams and workstream conveners (individually and collectively) are satisfied with the task plans and delivery schedule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360" w:right="0" w:hanging="360"/>
        <w:jc w:val="left"/>
        <w:rPr>
          <w:rFonts w:ascii="Franklin Gothic" w:cs="Franklin Gothic" w:eastAsia="Franklin Gothic" w:hAnsi="Franklin Gothic"/>
        </w:rPr>
      </w:pPr>
      <w:r w:rsidDel="00000000" w:rsidR="00000000" w:rsidRPr="00000000">
        <w:rPr>
          <w:rtl w:val="0"/>
        </w:rPr>
        <w:t xml:space="preserve">the resourcing envelope is sufficient to deliver the initial set of tasks.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850.3937007874016" w:right="0" w:hanging="425.19685039370074"/>
        <w:jc w:val="left"/>
        <w:rPr>
          <w:rFonts w:ascii="Franklin Gothic" w:cs="Franklin Gothic" w:eastAsia="Franklin Gothic" w:hAnsi="Franklin Gothic"/>
        </w:rPr>
      </w:pPr>
      <w:r w:rsidDel="00000000" w:rsidR="00000000" w:rsidRPr="00000000">
        <w:rPr>
          <w:rtl w:val="0"/>
        </w:rPr>
        <w:t xml:space="preserve">the SG requested a breakdown of the resource cost per task and stream</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60" w:line="240" w:lineRule="auto"/>
        <w:ind w:left="850.3937007874016" w:right="0" w:hanging="425.19685039370074"/>
        <w:jc w:val="left"/>
        <w:rPr>
          <w:rFonts w:ascii="Franklin Gothic" w:cs="Franklin Gothic" w:eastAsia="Franklin Gothic" w:hAnsi="Franklin Gothic"/>
        </w:rPr>
      </w:pPr>
      <w:r w:rsidDel="00000000" w:rsidR="00000000" w:rsidRPr="00000000">
        <w:rPr>
          <w:rtl w:val="0"/>
        </w:rPr>
        <w:t xml:space="preserve">the SG noted workstream conveners will provide visibility of activities and work to avoid inadvertent scope creep and resource shortfalls. The conveners will be supported to provide monthly status reports to the SG and Members.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60" w:before="60" w:line="240" w:lineRule="auto"/>
        <w:ind w:left="0" w:right="0" w:firstLine="0"/>
        <w:jc w:val="left"/>
        <w:rPr/>
      </w:pPr>
      <w:r w:rsidDel="00000000" w:rsidR="00000000" w:rsidRPr="00000000">
        <w:rPr>
          <w:rtl w:val="0"/>
        </w:rPr>
        <w:t xml:space="preserve">The SG noted progress with the deliverables listed in the funding agreement.</w:t>
      </w:r>
    </w:p>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6: Finance update</w:t>
      </w:r>
    </w:p>
    <w:p w:rsidR="00000000" w:rsidDel="00000000" w:rsidP="00000000" w:rsidRDefault="00000000" w:rsidRPr="00000000" w14:paraId="00000042">
      <w:pPr>
        <w:rPr/>
      </w:pPr>
      <w:r w:rsidDel="00000000" w:rsidR="00000000" w:rsidRPr="00000000">
        <w:rPr>
          <w:rtl w:val="0"/>
        </w:rPr>
        <w:t xml:space="preserve">The SG noted the finance update.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rFonts w:ascii="Abadi MT Pro" w:cs="Abadi MT Pro" w:eastAsia="Abadi MT Pro" w:hAnsi="Abadi MT Pro"/>
          <w:b w:val="0"/>
          <w:i w:val="0"/>
          <w:smallCaps w:val="0"/>
          <w:strike w:val="0"/>
          <w:color w:val="002387"/>
          <w:sz w:val="28"/>
          <w:szCs w:val="28"/>
          <w:u w:val="none"/>
          <w:shd w:fill="auto" w:val="clear"/>
          <w:vertAlign w:val="baseline"/>
        </w:rPr>
      </w:pPr>
      <w:r w:rsidDel="00000000" w:rsidR="00000000" w:rsidRPr="00000000">
        <w:rPr>
          <w:rFonts w:ascii="Abadi MT Pro" w:cs="Abadi MT Pro" w:eastAsia="Abadi MT Pro" w:hAnsi="Abadi MT Pro"/>
          <w:b w:val="0"/>
          <w:i w:val="0"/>
          <w:smallCaps w:val="0"/>
          <w:strike w:val="0"/>
          <w:color w:val="002387"/>
          <w:sz w:val="28"/>
          <w:szCs w:val="28"/>
          <w:u w:val="none"/>
          <w:shd w:fill="auto" w:val="clear"/>
          <w:vertAlign w:val="baseline"/>
          <w:rtl w:val="0"/>
        </w:rPr>
        <w:t xml:space="preserve">Procedural items </w:t>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7: Membership requests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t xml:space="preserve">The SG noted Rewiring Aotearoa joined FlexForum during February 2024 and another party had requested information about joining.</w:t>
      </w:r>
    </w:p>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8: Actions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2" w:lineRule="auto"/>
        <w:ind w:left="0" w:right="0" w:firstLine="0"/>
        <w:jc w:val="left"/>
        <w:rPr/>
      </w:pPr>
      <w:r w:rsidDel="00000000" w:rsidR="00000000" w:rsidRPr="00000000">
        <w:rPr>
          <w:rtl w:val="0"/>
        </w:rPr>
        <w:t xml:space="preserve">The SG noted the status of actions from previous sessions.</w:t>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9: Next Steering Group meeting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2" w:lineRule="auto"/>
        <w:ind w:left="0" w:right="0" w:firstLine="0"/>
        <w:jc w:val="left"/>
        <w:rPr/>
      </w:pPr>
      <w:r w:rsidDel="00000000" w:rsidR="00000000" w:rsidRPr="00000000">
        <w:rPr>
          <w:rtl w:val="0"/>
        </w:rPr>
        <w:t xml:space="preserve">The SG confirmed its next meeting is 0930-1200 4 April 2024.</w:t>
      </w:r>
    </w:p>
    <w:p w:rsidR="00000000" w:rsidDel="00000000" w:rsidP="00000000" w:rsidRDefault="00000000" w:rsidRPr="00000000" w14:paraId="0000004A">
      <w:pPr>
        <w:spacing w:after="240" w:before="240" w:line="242" w:lineRule="auto"/>
        <w:rPr/>
      </w:pPr>
      <w:r w:rsidDel="00000000" w:rsidR="00000000" w:rsidRPr="00000000">
        <w:rPr>
          <w:rtl w:val="0"/>
        </w:rPr>
        <w:t xml:space="preserve">A FlexForum meeting will be scheduled for 26 or 27 March.</w:t>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242" w:lineRule="auto"/>
        <w:ind w:left="0" w:right="0" w:firstLine="0"/>
        <w:jc w:val="left"/>
        <w:rPr/>
      </w:pPr>
      <w:r w:rsidDel="00000000" w:rsidR="00000000" w:rsidRPr="00000000">
        <w:rPr>
          <w:rFonts w:ascii="Abadi MT Pro" w:cs="Abadi MT Pro" w:eastAsia="Abadi MT Pro" w:hAnsi="Abadi MT Pro"/>
          <w:color w:val="002387"/>
          <w:sz w:val="28"/>
          <w:szCs w:val="28"/>
          <w:rtl w:val="0"/>
        </w:rPr>
        <w:t xml:space="preserve">10: Any other business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2" w:lineRule="auto"/>
        <w:ind w:left="0" w:right="0" w:firstLine="0"/>
        <w:jc w:val="left"/>
        <w:rPr/>
      </w:pPr>
      <w:r w:rsidDel="00000000" w:rsidR="00000000" w:rsidRPr="00000000">
        <w:rPr>
          <w:rtl w:val="0"/>
        </w:rPr>
        <w:t xml:space="preserve">The SG discussed four items of other business.</w:t>
      </w:r>
    </w:p>
    <w:p w:rsidR="00000000" w:rsidDel="00000000" w:rsidP="00000000" w:rsidRDefault="00000000" w:rsidRPr="00000000" w14:paraId="0000004D">
      <w:pPr>
        <w:numPr>
          <w:ilvl w:val="0"/>
          <w:numId w:val="1"/>
        </w:numPr>
        <w:ind w:left="360" w:hanging="360"/>
        <w:rPr/>
      </w:pPr>
      <w:r w:rsidDel="00000000" w:rsidR="00000000" w:rsidRPr="00000000">
        <w:rPr>
          <w:rtl w:val="0"/>
        </w:rPr>
        <w:t xml:space="preserve">membership communication - regular sharing information with Members will support active participation. Kicking off the workplan will result in a higher tempo of Member communication </w:t>
      </w:r>
    </w:p>
    <w:p w:rsidR="00000000" w:rsidDel="00000000" w:rsidP="00000000" w:rsidRDefault="00000000" w:rsidRPr="00000000" w14:paraId="0000004E">
      <w:pPr>
        <w:numPr>
          <w:ilvl w:val="0"/>
          <w:numId w:val="1"/>
        </w:numPr>
        <w:ind w:left="360" w:hanging="360"/>
        <w:rPr/>
      </w:pPr>
      <w:r w:rsidDel="00000000" w:rsidR="00000000" w:rsidRPr="00000000">
        <w:rPr>
          <w:rtl w:val="0"/>
        </w:rPr>
        <w:t xml:space="preserve">update on processes and systems - documenting ways of working will make it easier for people to get involved and standardise practises. This activity will be undertaken by the administration resource.</w:t>
      </w:r>
    </w:p>
    <w:p w:rsidR="00000000" w:rsidDel="00000000" w:rsidP="00000000" w:rsidRDefault="00000000" w:rsidRPr="00000000" w14:paraId="0000004F">
      <w:pPr>
        <w:numPr>
          <w:ilvl w:val="0"/>
          <w:numId w:val="1"/>
        </w:numPr>
        <w:ind w:left="360" w:hanging="360"/>
        <w:rPr/>
      </w:pPr>
      <w:r w:rsidDel="00000000" w:rsidR="00000000" w:rsidRPr="00000000">
        <w:rPr>
          <w:rtl w:val="0"/>
        </w:rPr>
        <w:t xml:space="preserve">timing of further discussion of organisation key outcomes and results measures. This discussion will be included as a strategic item at an upcoming meeting </w:t>
      </w:r>
    </w:p>
    <w:p w:rsidR="00000000" w:rsidDel="00000000" w:rsidP="00000000" w:rsidRDefault="00000000" w:rsidRPr="00000000" w14:paraId="00000050">
      <w:pPr>
        <w:numPr>
          <w:ilvl w:val="0"/>
          <w:numId w:val="1"/>
        </w:numPr>
        <w:ind w:left="360" w:hanging="360"/>
        <w:rPr/>
      </w:pPr>
      <w:r w:rsidDel="00000000" w:rsidR="00000000" w:rsidRPr="00000000">
        <w:rPr>
          <w:rtl w:val="0"/>
        </w:rPr>
        <w:t xml:space="preserve">FlexForum submissions - specifically, is FF looking at a response to EA Future System Operation consultation? Generally, how does FlexForum decide to respond to a consultation. The SG noted the intention to ask Members this question.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2"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2" w:lineRule="auto"/>
        <w:ind w:left="0" w:right="0" w:firstLine="0"/>
        <w:jc w:val="left"/>
        <w:rPr/>
      </w:pPr>
      <w:r w:rsidDel="00000000" w:rsidR="00000000" w:rsidRPr="00000000">
        <w:rPr>
          <w:rtl w:val="0"/>
        </w:rPr>
        <w:t xml:space="preserve">Finish 1203 </w:t>
      </w:r>
    </w:p>
    <w:p w:rsidR="00000000" w:rsidDel="00000000" w:rsidP="00000000" w:rsidRDefault="00000000" w:rsidRPr="00000000" w14:paraId="00000053">
      <w:pPr>
        <w:rPr/>
      </w:pPr>
      <w:r w:rsidDel="00000000" w:rsidR="00000000" w:rsidRPr="00000000">
        <w:rPr>
          <w:rtl w:val="0"/>
        </w:rPr>
      </w:r>
    </w:p>
    <w:sectPr>
      <w:headerReference r:id="rId8" w:type="default"/>
      <w:footerReference r:id="rId9"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badi MT Pro"/>
  <w:font w:name="Franklin Gothic">
    <w:embedBold w:fontKey="{00000000-0000-0000-0000-000000000000}" r:id="rId1" w:subsetted="0"/>
  </w:font>
  <w:font w:name="Abadi"/>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42" w:lineRule="auto"/>
      <w:ind w:left="0" w:right="0" w:firstLine="0"/>
      <w:jc w:val="left"/>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42" w:lineRule="auto"/>
      <w:ind w:left="0" w:right="0" w:firstLine="0"/>
      <w:jc w:val="left"/>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42" w:lineRule="auto"/>
      <w:ind w:left="0" w:right="0" w:firstLine="0"/>
      <w:jc w:val="left"/>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Abadi" w:cs="Abadi" w:eastAsia="Abadi" w:hAnsi="Abadi"/>
        <w:sz w:val="22"/>
        <w:szCs w:val="22"/>
      </w:rPr>
    </w:lvl>
    <w:lvl w:ilvl="1">
      <w:start w:val="1"/>
      <w:numFmt w:val="bullet"/>
      <w:lvlText w:val="o"/>
      <w:lvlJc w:val="left"/>
      <w:pPr>
        <w:ind w:left="850.3937007874016" w:hanging="425.19685039370074"/>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ranklin Gothic" w:cs="Franklin Gothic" w:eastAsia="Franklin Gothic" w:hAnsi="Franklin Gothic"/>
        <w:lang w:val="en_GB"/>
      </w:rPr>
    </w:rPrDefault>
    <w:pPrDefault>
      <w:pPr>
        <w:spacing w:after="6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595959"/>
      <w:sz w:val="30"/>
      <w:szCs w:val="3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rPr>
      <w:color w:val="595959"/>
      <w:sz w:val="30"/>
      <w:szCs w:val="30"/>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rPr>
      <w:rFonts w:ascii="Calibri" w:cs="Calibri" w:eastAsia="Calibri" w:hAnsi="Calibri"/>
      <w:b w:val="0"/>
      <w:i w:val="0"/>
      <w:color w:val="000000"/>
    </w:rPr>
    <w:tblPr>
      <w:tblStyleRowBandSize w:val="1"/>
      <w:tblStyleColBandSize w:val="1"/>
      <w:tblCellMar>
        <w:top w:w="100.0" w:type="dxa"/>
        <w:left w:w="100.0" w:type="dxa"/>
        <w:bottom w:w="100.0" w:type="dxa"/>
        <w:right w:w="100.0" w:type="dxa"/>
      </w:tblCellMar>
    </w:tblPr>
    <w:tcPr>
      <w:shd w:fill="ffffff" w:val="clear"/>
    </w:tcPr>
    <w:tblStylePr w:type="band1Horz">
      <w:pPr/>
      <w:rPr>
        <w:b w:val="0"/>
        <w:i w:val="0"/>
      </w:rPr>
      <w:tcPr>
        <w:shd w:fill="000000" w:val="clear"/>
      </w:tcPr>
    </w:tblStylePr>
    <w:tblStylePr w:type="band1Vert">
      <w:pPr/>
      <w:rPr>
        <w:b w:val="0"/>
        <w:i w:val="0"/>
      </w:rPr>
      <w:tcPr>
        <w:shd w:fill="000000" w:val="clear"/>
      </w:tcPr>
    </w:tblStylePr>
    <w:tblStylePr w:type="band2Horz">
      <w:pPr/>
      <w:rPr>
        <w:b w:val="0"/>
        <w:i w:val="0"/>
      </w:rPr>
      <w:tcPr/>
    </w:tblStylePr>
    <w:tblStylePr w:type="band2Vert">
      <w:pPr/>
      <w:rPr>
        <w:b w:val="0"/>
        <w:i w:val="0"/>
      </w:rPr>
      <w:tcPr/>
    </w:tblStylePr>
    <w:tblStylePr w:type="firstCol">
      <w:pPr/>
      <w:rPr>
        <w:b w:val="1"/>
        <w:i w:val="0"/>
      </w:rPr>
      <w:tcPr/>
    </w:tblStylePr>
    <w:tblStylePr w:type="firstRow">
      <w:pPr/>
      <w:rPr>
        <w:b w:val="1"/>
        <w:i w:val="0"/>
      </w:rPr>
      <w:tcPr>
        <w:tcBorders>
          <w:bottom w:color="000000" w:space="0" w:sz="8" w:val="single"/>
        </w:tcBorders>
        <w:shd w:fill="ffffff" w:val="clear"/>
      </w:tcPr>
    </w:tblStylePr>
    <w:tblStylePr w:type="lastCol">
      <w:pPr/>
      <w:rPr>
        <w:b w:val="1"/>
        <w:i w:val="0"/>
      </w:rPr>
      <w:tcPr/>
    </w:tblStylePr>
    <w:tblStylePr w:type="lastRow">
      <w:pPr/>
      <w:rPr>
        <w:b w:val="1"/>
        <w:i w:val="0"/>
      </w:rPr>
      <w:tcPr>
        <w:tcBorders>
          <w:top w:color="000000" w:space="0" w:sz="8" w:val="single"/>
        </w:tcBorders>
        <w:shd w:fill="ffffff" w:val="clear"/>
      </w:tcPr>
    </w:tblStylePr>
    <w:tblStylePr w:type="neCell">
      <w:pPr/>
      <w:rPr>
        <w:b w:val="0"/>
        <w:i w:val="0"/>
      </w:rPr>
      <w:tcPr/>
    </w:tblStylePr>
    <w:tblStylePr w:type="nwCell">
      <w:pPr/>
      <w:rPr>
        <w:b w:val="0"/>
        <w:i w:val="0"/>
      </w:rPr>
      <w:tcPr/>
    </w:tblStylePr>
    <w:tblStylePr w:type="seCell">
      <w:pPr/>
      <w:rPr>
        <w:b w:val="0"/>
        <w:i w:val="0"/>
      </w:rPr>
      <w:tcPr/>
    </w:tblStylePr>
    <w:tblStylePr w:type="swCell">
      <w:pPr/>
      <w:rPr>
        <w:b w:val="0"/>
        <w:i w:val="0"/>
      </w:rP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b w:val="0"/>
      <w:i w:val="0"/>
      <w:color w:val="000000"/>
      <w:sz w:val="30"/>
      <w:szCs w:val="30"/>
    </w:rPr>
    <w:tblPr>
      <w:tblStyleRowBandSize w:val="1"/>
      <w:tblStyleColBandSize w:val="1"/>
      <w:tblCellMar>
        <w:top w:w="0.0" w:type="dxa"/>
        <w:left w:w="115.0" w:type="dxa"/>
        <w:bottom w:w="0.0" w:type="dxa"/>
        <w:right w:w="115.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rPr>
      <w:rFonts w:ascii="Calibri" w:cs="Calibri" w:eastAsia="Calibri" w:hAnsi="Calibri"/>
      <w:b w:val="0"/>
      <w:i w:val="0"/>
      <w:color w:val="000000"/>
      <w:sz w:val="30"/>
      <w:szCs w:val="30"/>
    </w:rPr>
    <w:tblPr>
      <w:tblStyleRowBandSize w:val="1"/>
      <w:tblStyleColBandSize w:val="1"/>
      <w:tblCellMar>
        <w:top w:w="0.0" w:type="dxa"/>
        <w:left w:w="115.0" w:type="dxa"/>
        <w:bottom w:w="0.0" w:type="dxa"/>
        <w:right w:w="115.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b w:val="0"/>
      <w:i w:val="0"/>
      <w:color w:val="000000"/>
      <w:sz w:val="30"/>
      <w:szCs w:val="30"/>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rPr>
      <w:rFonts w:ascii="Calibri" w:cs="Calibri" w:eastAsia="Calibri" w:hAnsi="Calibri"/>
      <w:b w:val="0"/>
      <w:i w:val="0"/>
      <w:color w:val="000000"/>
      <w:sz w:val="30"/>
      <w:szCs w:val="30"/>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b w:val="0"/>
      <w:i w:val="0"/>
      <w:color w:val="000000"/>
      <w:sz w:val="30"/>
      <w:szCs w:val="30"/>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rPr>
      <w:rFonts w:ascii="Calibri" w:cs="Calibri" w:eastAsia="Calibri" w:hAnsi="Calibri"/>
      <w:b w:val="0"/>
      <w:i w:val="0"/>
      <w:color w:val="000000"/>
      <w:sz w:val="30"/>
      <w:szCs w:val="30"/>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b w:val="0"/>
      <w:i w:val="0"/>
      <w:color w:val="000000"/>
      <w:sz w:val="30"/>
      <w:szCs w:val="30"/>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rPr>
      <w:rFonts w:ascii="Calibri" w:cs="Calibri" w:eastAsia="Calibri" w:hAnsi="Calibri"/>
      <w:b w:val="0"/>
      <w:i w:val="0"/>
      <w:color w:val="000000"/>
      <w:sz w:val="30"/>
      <w:szCs w:val="30"/>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b w:val="0"/>
      <w:i w:val="0"/>
      <w:color w:val="000000"/>
      <w:sz w:val="30"/>
      <w:szCs w:val="30"/>
    </w:rPr>
    <w:tblPr>
      <w:tblStyleRowBandSize w:val="1"/>
      <w:tblStyleColBandSize w:val="1"/>
      <w:tblCellMar>
        <w:top w:w="100.0" w:type="dxa"/>
        <w:left w:w="100.0" w:type="dxa"/>
        <w:bottom w:w="100.0" w:type="dxa"/>
        <w:right w:w="100.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SXV+pkpwsWi6T4659y1wbRKhg==">CgMxLjA4AHIhMVQ2SGpjSTJYbklCNnlWemVpQTJCVUNFekN5U3ZaZjQw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talked a bunch">
    <vt:lpwstr>talked a bunch</vt:lpwstr>
  </property>
  <property fmtid="{D5CDD505-2E9C-101B-9397-08002B2CF9AE}" pid="3" name="talked a bunch">
    <vt:lpwstr>talked a bunch</vt:lpwstr>
  </property>
  <property fmtid="{D5CDD505-2E9C-101B-9397-08002B2CF9AE}" pid="4" name="talked a bunch">
    <vt:lpwstr>talked a bunch</vt:lpwstr>
  </property>
</Properties>
</file>